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11BB3">
      <w:pPr>
        <w:overflowPunct w:val="0"/>
        <w:spacing w:line="400" w:lineRule="exact"/>
        <w:jc w:val="center"/>
        <w:rPr>
          <w:rFonts w:ascii="Arial" w:hAnsi="Arial" w:cs="Arial"/>
          <w:b/>
          <w:color w:val="000000"/>
          <w:kern w:val="0"/>
          <w:sz w:val="36"/>
          <w:szCs w:val="36"/>
          <w:lang w:bidi="en-US"/>
        </w:rPr>
      </w:pPr>
      <w:r>
        <w:rPr>
          <w:rFonts w:hint="eastAsia" w:ascii="Arial" w:hAnsi="Arial" w:cs="Arial"/>
          <w:b/>
          <w:color w:val="000000"/>
          <w:kern w:val="0"/>
          <w:sz w:val="36"/>
          <w:szCs w:val="36"/>
          <w:lang w:bidi="en-US"/>
        </w:rPr>
        <w:t>大同证券有限责任公司</w:t>
      </w:r>
    </w:p>
    <w:p w14:paraId="083DDFF6">
      <w:pPr>
        <w:overflowPunct w:val="0"/>
        <w:spacing w:line="400" w:lineRule="exact"/>
        <w:jc w:val="center"/>
        <w:rPr>
          <w:rFonts w:ascii="Arial" w:hAnsi="Arial" w:cs="Arial"/>
          <w:b/>
          <w:color w:val="000000"/>
          <w:kern w:val="0"/>
          <w:sz w:val="36"/>
          <w:szCs w:val="36"/>
          <w:lang w:bidi="en-US"/>
        </w:rPr>
      </w:pPr>
      <w:r>
        <w:rPr>
          <w:rFonts w:hint="eastAsia" w:ascii="Arial" w:hAnsi="Arial" w:cs="Arial"/>
          <w:b/>
          <w:color w:val="000000"/>
          <w:kern w:val="0"/>
          <w:sz w:val="36"/>
          <w:szCs w:val="36"/>
          <w:lang w:bidi="en-US"/>
        </w:rPr>
        <w:t>科创板股票投资者风险揭示书</w:t>
      </w:r>
    </w:p>
    <w:p w14:paraId="2C2C614D">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p>
    <w:p w14:paraId="31CB10E1">
      <w:pPr>
        <w:overflowPunct w:val="0"/>
        <w:autoSpaceDE w:val="0"/>
        <w:autoSpaceDN w:val="0"/>
        <w:adjustRightInd w:val="0"/>
        <w:snapToGrid w:val="0"/>
        <w:spacing w:line="400" w:lineRule="exact"/>
        <w:rPr>
          <w:rFonts w:ascii="Arial" w:hAnsi="Arial" w:eastAsia="仿宋_GB2312" w:cs="Arial"/>
          <w:color w:val="000000"/>
          <w:kern w:val="0"/>
          <w:sz w:val="24"/>
          <w:szCs w:val="24"/>
          <w:lang w:bidi="en-US"/>
        </w:rPr>
      </w:pPr>
      <w:r>
        <w:rPr>
          <w:rFonts w:ascii="Arial" w:hAnsi="Arial" w:eastAsia="仿宋_GB2312" w:cs="Arial"/>
          <w:color w:val="000000"/>
          <w:kern w:val="0"/>
          <w:sz w:val="24"/>
          <w:szCs w:val="24"/>
          <w:lang w:bidi="en-US"/>
        </w:rPr>
        <w:t>尊敬的投资者：</w:t>
      </w:r>
    </w:p>
    <w:p w14:paraId="3655ECB2">
      <w:pPr>
        <w:overflowPunct w:val="0"/>
        <w:autoSpaceDE w:val="0"/>
        <w:autoSpaceDN w:val="0"/>
        <w:adjustRightInd w:val="0"/>
        <w:snapToGrid w:val="0"/>
        <w:spacing w:line="400" w:lineRule="exact"/>
        <w:ind w:firstLine="480" w:firstLineChars="200"/>
        <w:rPr>
          <w:rFonts w:hint="eastAsia" w:ascii="Arial" w:hAnsi="Arial" w:eastAsia="仿宋_GB2312" w:cs="Arial"/>
          <w:kern w:val="0"/>
          <w:sz w:val="24"/>
          <w:szCs w:val="24"/>
          <w:lang w:bidi="en-US"/>
        </w:rPr>
      </w:pPr>
      <w:bookmarkStart w:id="0" w:name="OLE_LINK13"/>
      <w:bookmarkStart w:id="1" w:name="OLE_LINK8"/>
      <w:r>
        <w:rPr>
          <w:rFonts w:ascii="Arial" w:hAnsi="Arial" w:eastAsia="仿宋_GB2312" w:cs="Arial"/>
          <w:kern w:val="0"/>
          <w:sz w:val="24"/>
          <w:szCs w:val="24"/>
          <w:lang w:bidi="en-US"/>
        </w:rPr>
        <w:t>本风险揭示书并不能揭示从事科创板股票</w:t>
      </w:r>
      <w:r>
        <w:rPr>
          <w:rFonts w:hint="eastAsia" w:ascii="Arial" w:hAnsi="Arial" w:eastAsia="仿宋_GB2312" w:cs="Arial"/>
          <w:kern w:val="0"/>
          <w:sz w:val="24"/>
          <w:szCs w:val="24"/>
          <w:lang w:bidi="en-US"/>
        </w:rPr>
        <w:t>或存托凭证（以下统称“科创板股票”）</w:t>
      </w:r>
      <w:r>
        <w:rPr>
          <w:rFonts w:ascii="Arial" w:hAnsi="Arial" w:eastAsia="仿宋_GB2312" w:cs="Arial"/>
          <w:kern w:val="0"/>
          <w:sz w:val="24"/>
          <w:szCs w:val="24"/>
          <w:lang w:bidi="en-US"/>
        </w:rPr>
        <w:t>交易</w:t>
      </w:r>
      <w:r>
        <w:rPr>
          <w:rFonts w:hint="eastAsia" w:ascii="Arial" w:hAnsi="Arial" w:eastAsia="仿宋_GB2312" w:cs="Arial"/>
          <w:kern w:val="0"/>
          <w:sz w:val="24"/>
          <w:szCs w:val="24"/>
          <w:lang w:bidi="en-US"/>
        </w:rPr>
        <w:t>（含发行申购）</w:t>
      </w:r>
      <w:r>
        <w:rPr>
          <w:rFonts w:ascii="Arial" w:hAnsi="Arial" w:eastAsia="仿宋_GB2312" w:cs="Arial"/>
          <w:kern w:val="0"/>
          <w:sz w:val="24"/>
          <w:szCs w:val="24"/>
          <w:lang w:bidi="en-US"/>
        </w:rPr>
        <w:t>的全部风险，您务必对此有清醒的认识，认真考虑是否参与科创板股票交易。当您决定参与科创板股票交易之前，</w:t>
      </w:r>
      <w:r>
        <w:rPr>
          <w:rFonts w:hint="eastAsia" w:ascii="Arial" w:hAnsi="Arial" w:eastAsia="仿宋_GB2312" w:cs="Arial"/>
          <w:kern w:val="0"/>
          <w:sz w:val="24"/>
          <w:szCs w:val="24"/>
          <w:lang w:bidi="en-US"/>
        </w:rPr>
        <w:t>应当充分知悉科创板股票发行、上市、交易、持续监管等相关制度安排，深入了解相关上市公司基本面情况，并根据自身财务状况、风险承受能力等，审慎考虑是否申购、交易科创板股票。</w:t>
      </w:r>
      <w:r>
        <w:rPr>
          <w:rFonts w:ascii="Arial" w:hAnsi="Arial" w:eastAsia="仿宋_GB2312" w:cs="Arial"/>
          <w:kern w:val="0"/>
          <w:sz w:val="24"/>
          <w:szCs w:val="24"/>
          <w:lang w:bidi="en-US"/>
        </w:rPr>
        <w:t>请您务必认真阅读</w:t>
      </w:r>
      <w:r>
        <w:rPr>
          <w:rFonts w:hint="eastAsia" w:ascii="Arial" w:hAnsi="Arial" w:eastAsia="仿宋_GB2312" w:cs="Arial"/>
          <w:kern w:val="0"/>
          <w:sz w:val="24"/>
          <w:szCs w:val="24"/>
          <w:lang w:bidi="en-US"/>
        </w:rPr>
        <w:t>相关业务规则及</w:t>
      </w:r>
      <w:r>
        <w:rPr>
          <w:rFonts w:ascii="Arial" w:hAnsi="Arial" w:eastAsia="仿宋_GB2312" w:cs="Arial"/>
          <w:kern w:val="0"/>
          <w:sz w:val="24"/>
          <w:szCs w:val="24"/>
          <w:lang w:bidi="en-US"/>
        </w:rPr>
        <w:t>本风险揭示书等并签字。</w:t>
      </w:r>
    </w:p>
    <w:bookmarkEnd w:id="0"/>
    <w:p w14:paraId="7DA99CD9">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ascii="Arial" w:hAnsi="Arial" w:eastAsia="仿宋_GB2312" w:cs="Arial"/>
          <w:color w:val="000000"/>
          <w:kern w:val="0"/>
          <w:sz w:val="24"/>
          <w:szCs w:val="24"/>
          <w:lang w:bidi="en-US"/>
        </w:rPr>
        <w:t>投资者从事科创板股票交易，除了面临证券市场中的各类风险外，还可能面临包括但不限于以下风险：</w:t>
      </w:r>
    </w:p>
    <w:p w14:paraId="3A8CE050">
      <w:pPr>
        <w:overflowPunct w:val="0"/>
        <w:autoSpaceDE w:val="0"/>
        <w:autoSpaceDN w:val="0"/>
        <w:adjustRightInd w:val="0"/>
        <w:snapToGrid w:val="0"/>
        <w:spacing w:line="400" w:lineRule="exact"/>
        <w:ind w:firstLine="480" w:firstLineChars="200"/>
        <w:rPr>
          <w:rFonts w:hint="eastAsia" w:ascii="Arial" w:hAnsi="Arial" w:eastAsia="仿宋_GB2312" w:cs="Arial"/>
          <w:color w:val="000000"/>
          <w:kern w:val="0"/>
          <w:sz w:val="24"/>
          <w:szCs w:val="24"/>
          <w:lang w:bidi="en-US"/>
        </w:rPr>
      </w:pPr>
      <w:bookmarkStart w:id="2" w:name="OLE_LINK11"/>
      <w:bookmarkStart w:id="3" w:name="OLE_LINK18"/>
      <w:bookmarkStart w:id="4" w:name="OLE_LINK27"/>
      <w:r>
        <w:rPr>
          <w:rFonts w:hint="eastAsia" w:ascii="Arial" w:hAnsi="Arial" w:eastAsia="仿宋_GB2312" w:cs="Arial"/>
          <w:color w:val="000000"/>
          <w:kern w:val="0"/>
          <w:sz w:val="24"/>
          <w:szCs w:val="24"/>
          <w:lang w:bidi="en-US"/>
        </w:rPr>
        <w:t>一、科创板企业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bookmarkEnd w:id="2"/>
    <w:bookmarkEnd w:id="3"/>
    <w:p w14:paraId="56E947AC">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bookmarkStart w:id="5" w:name="OLE_LINK19"/>
      <w:r>
        <w:rPr>
          <w:rFonts w:hint="eastAsia" w:ascii="Arial" w:hAnsi="Arial" w:eastAsia="仿宋_GB2312" w:cs="Arial"/>
          <w:color w:val="000000"/>
          <w:kern w:val="0"/>
          <w:sz w:val="24"/>
          <w:szCs w:val="24"/>
          <w:lang w:bidi="en-US"/>
        </w:rPr>
        <w:t>二、科创板企业可能存在首次公开发行前最近3个会计年度未能连续盈利、公开发行并上市时尚未盈利、有累计未弥补亏损等情形，可能存在上市后仍无法盈利、持续亏损、无法进行利润分配等情形。</w:t>
      </w:r>
    </w:p>
    <w:bookmarkEnd w:id="5"/>
    <w:p w14:paraId="36FC6551">
      <w:pPr>
        <w:overflowPunct w:val="0"/>
        <w:autoSpaceDE w:val="0"/>
        <w:autoSpaceDN w:val="0"/>
        <w:adjustRightInd w:val="0"/>
        <w:snapToGrid w:val="0"/>
        <w:spacing w:line="400" w:lineRule="exact"/>
        <w:ind w:firstLine="480" w:firstLineChars="200"/>
        <w:rPr>
          <w:rFonts w:hint="eastAsia" w:ascii="Arial" w:hAnsi="Arial" w:eastAsia="仿宋_GB2312" w:cs="Arial"/>
          <w:kern w:val="0"/>
          <w:sz w:val="24"/>
          <w:szCs w:val="24"/>
          <w:lang w:bidi="en-US"/>
        </w:rPr>
      </w:pPr>
      <w:bookmarkStart w:id="6" w:name="OLE_LINK23"/>
      <w:r>
        <w:rPr>
          <w:rFonts w:hint="eastAsia" w:ascii="Arial" w:hAnsi="Arial" w:eastAsia="仿宋_GB2312" w:cs="Arial"/>
          <w:kern w:val="0"/>
          <w:sz w:val="24"/>
          <w:szCs w:val="24"/>
          <w:lang w:bidi="en-US"/>
        </w:rPr>
        <w:t>三、科创板新股发行价格、规模、节奏等坚持市场化导向，可能采用直接定价或者询价定价方式发行。采用询价定价方式的，询价对象限定在证券公司等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bookmarkEnd w:id="6"/>
    <w:p w14:paraId="4B8A3429">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四、科创板新股发行采用询价方式的，初步询价结束后，科创板发行人预计发行后总市值不满足其在招股说明书中明确选择的市值与财务指标上市标准的，将按规定中止发行。</w:t>
      </w:r>
    </w:p>
    <w:p w14:paraId="2D0BA2E9">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 xml:space="preserve">五、根据首次公开发行科创板股票发行后总股本差异、是否为未盈利企业，网上初始发行比例可能有所差别；根据网上投资者有效申购倍数差异，可能存在不同的网下向网上回拨比例。科创板股票网上发行比例、网下向网上回拨比例与上交所主板股票发行规则存在差异，投资者应当关注。 </w:t>
      </w:r>
    </w:p>
    <w:p w14:paraId="430CC322">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六、首次公开发行股票时，发行人和主承销商可以采用超额配售选择权，即存在发行人增发股票的可能性。</w:t>
      </w:r>
    </w:p>
    <w:p w14:paraId="626A6148">
      <w:pPr>
        <w:overflowPunct w:val="0"/>
        <w:autoSpaceDE w:val="0"/>
        <w:autoSpaceDN w:val="0"/>
        <w:adjustRightInd w:val="0"/>
        <w:snapToGrid w:val="0"/>
        <w:spacing w:line="400" w:lineRule="exact"/>
        <w:ind w:firstLine="480" w:firstLineChars="200"/>
        <w:rPr>
          <w:rFonts w:hint="eastAsia" w:ascii="Arial" w:hAnsi="Arial" w:eastAsia="仿宋_GB2312" w:cs="Arial"/>
          <w:kern w:val="0"/>
          <w:sz w:val="24"/>
          <w:szCs w:val="24"/>
          <w:lang w:bidi="en-US"/>
        </w:rPr>
      </w:pPr>
      <w:bookmarkStart w:id="7" w:name="OLE_LINK12"/>
      <w:bookmarkStart w:id="8" w:name="OLE_LINK25"/>
      <w:r>
        <w:rPr>
          <w:rFonts w:hint="eastAsia" w:ascii="Arial" w:hAnsi="Arial" w:eastAsia="仿宋_GB2312" w:cs="Arial"/>
          <w:color w:val="000000"/>
          <w:kern w:val="0"/>
          <w:sz w:val="24"/>
          <w:szCs w:val="24"/>
          <w:lang w:bidi="en-US"/>
        </w:rPr>
        <w:t>七、科创板股票可能主动终止上市，也可能因触及退市情形被终止上市。被实施</w:t>
      </w:r>
      <w:r>
        <w:rPr>
          <w:rFonts w:hint="eastAsia" w:ascii="Arial" w:hAnsi="Arial" w:eastAsia="仿宋_GB2312" w:cs="Arial"/>
          <w:kern w:val="0"/>
          <w:sz w:val="24"/>
          <w:szCs w:val="24"/>
          <w:lang w:bidi="en-US"/>
        </w:rPr>
        <w:t>退市风险警示或其他风险警示的科创板股票，存在投资者当日通过竞价交易、大宗交易和盘后固定价格交易累计买入的单只股票数量不超过50万股的限制。主动终止上市或因触及交易类情形被终止上市的，不进入退市整理期，直接予以摘牌；因触及重大违法类、财务类或者规范类情形被终止上市的，进入退市整理期交易15个交易日后予以摘牌。投资者应当充分了解相关规定，密切关注退市风险。</w:t>
      </w:r>
    </w:p>
    <w:bookmarkEnd w:id="7"/>
    <w:bookmarkEnd w:id="8"/>
    <w:p w14:paraId="04EDA778">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八、科创板制度允许上市公司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14:paraId="1D8DDED9">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九、出现《上海证券交易所科创板股票上市规则》以及上市公司章程规定的情形时，特别表决权股份将按1:1的比例转换为普通股份。股份转换自相关情形发生时即生效，并可能与相关股份转换登记时点存在差异。投资者需及时关注上市公司相关公告，以了解特别表决权股份变动事宜。</w:t>
      </w:r>
    </w:p>
    <w:p w14:paraId="2B313BBE">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相对于主板上市公司，科创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5C051593">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一、科创板股票竞价交易的价格涨跌幅限制比例为20%，但在首次公开发行上市后的前5个交易日、进入退市整理期的首日以及上交所认定的其他情形下不实行涨跌幅限制，投资者应当关注可能产生的股价波动的风险。</w:t>
      </w:r>
    </w:p>
    <w:p w14:paraId="61737F87">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5B51FA2D">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十三、科创板股票交易可以实行做市商机制，做市商可以为科创板股票提供双边报价服务，请投资者及时关注相关事项。</w:t>
      </w:r>
    </w:p>
    <w:p w14:paraId="663AF891">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十四、投资者需关注科创板股票交易的单笔申报数量、有效申报价格范围等与上交所主板市场股票交易存在差异，避免产生无效申报。</w:t>
      </w:r>
    </w:p>
    <w:p w14:paraId="26A508B0">
      <w:pPr>
        <w:overflowPunct w:val="0"/>
        <w:autoSpaceDE w:val="0"/>
        <w:autoSpaceDN w:val="0"/>
        <w:adjustRightInd w:val="0"/>
        <w:snapToGrid w:val="0"/>
        <w:spacing w:line="400" w:lineRule="exact"/>
        <w:ind w:firstLine="480" w:firstLineChars="200"/>
        <w:rPr>
          <w:rFonts w:hint="eastAsia" w:ascii="Arial" w:hAnsi="Arial" w:eastAsia="仿宋_GB2312" w:cs="Arial"/>
          <w:kern w:val="0"/>
          <w:sz w:val="24"/>
          <w:szCs w:val="24"/>
          <w:lang w:bidi="en-US"/>
        </w:rPr>
      </w:pPr>
      <w:bookmarkStart w:id="9" w:name="OLE_LINK26"/>
      <w:r>
        <w:rPr>
          <w:rFonts w:hint="eastAsia" w:ascii="Arial" w:hAnsi="Arial" w:eastAsia="仿宋_GB2312" w:cs="Arial"/>
          <w:kern w:val="0"/>
          <w:sz w:val="24"/>
          <w:szCs w:val="24"/>
          <w:lang w:bidi="en-US"/>
        </w:rPr>
        <w:t>十五、投资者需关注科创板股票交易方式包括竞价交易、盘后固定价格交易及大宗交易，不同交易方式的交易时间、申报要求、成交原则等存在差异。科创板股票大宗交易成交申报确认时间与上交所主板股票存在差异，投资者应当关注。</w:t>
      </w:r>
    </w:p>
    <w:bookmarkEnd w:id="9"/>
    <w:p w14:paraId="00C3063E">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十六、科创板股票上市首日即可作为融资融券标的，投资者应注意相关风险。</w:t>
      </w:r>
    </w:p>
    <w:p w14:paraId="09F1BDD0">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十七、科创板股票的交易公开信息披露指标及异常波动情形、严重异常波动情形披露指标与上交所主板市场规定不同，投资者应当关注与此相关的风险。</w:t>
      </w:r>
    </w:p>
    <w:p w14:paraId="1EA52D9C">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八、符合相关规定的红筹企业可以在科创板上市。红筹企业在境外注册，可能采用协议控制架构，在上市标准、信息披露、分红派息、退市标准等方面可能与境内上市公司存在差异。红筹企业注册地、境外上市地等地法律法规对当地投资者提供的保护,可能与境内法律为境内投资者提供的保护存在差异。</w:t>
      </w:r>
    </w:p>
    <w:p w14:paraId="3BE4D8CD">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十九、红筹企业可以发行股票或存托凭证在科创板上市。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的具体内容，关注交易和持有红筹企业股票或存托凭证过程中可能存在的风险。</w:t>
      </w:r>
    </w:p>
    <w:p w14:paraId="5BF3ACFD">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kern w:val="0"/>
          <w:sz w:val="24"/>
          <w:szCs w:val="24"/>
          <w:lang w:bidi="en-US"/>
        </w:rPr>
        <w:t>二十、科创板股票相关法律、行政法规、部门规章、规范性文件（以下简称“法律法规”）和交易所业务规则，可能根据市场情况进行修改，或者制定新的法律法规和业务规则，投资者应当及时予以关注和了解。</w:t>
      </w:r>
    </w:p>
    <w:bookmarkEnd w:id="1"/>
    <w:bookmarkEnd w:id="4"/>
    <w:p w14:paraId="22439952">
      <w:pPr>
        <w:overflowPunct w:val="0"/>
        <w:autoSpaceDE w:val="0"/>
        <w:autoSpaceDN w:val="0"/>
        <w:adjustRightInd w:val="0"/>
        <w:snapToGrid w:val="0"/>
        <w:spacing w:line="400" w:lineRule="exact"/>
        <w:ind w:firstLine="480" w:firstLineChars="200"/>
        <w:rPr>
          <w:rFonts w:hint="eastAsia" w:ascii="Arial" w:hAnsi="Arial" w:eastAsia="仿宋_GB2312" w:cs="Arial"/>
          <w:color w:val="000000"/>
          <w:kern w:val="0"/>
          <w:sz w:val="24"/>
          <w:szCs w:val="24"/>
          <w:lang w:bidi="en-US"/>
        </w:rPr>
      </w:pPr>
    </w:p>
    <w:p w14:paraId="1E854923">
      <w:pPr>
        <w:overflowPunct w:val="0"/>
        <w:autoSpaceDE w:val="0"/>
        <w:autoSpaceDN w:val="0"/>
        <w:adjustRightInd w:val="0"/>
        <w:snapToGrid w:val="0"/>
        <w:spacing w:line="400" w:lineRule="exact"/>
        <w:ind w:firstLine="480" w:firstLineChars="200"/>
        <w:rPr>
          <w:rFonts w:ascii="仿宋_GB2312" w:hAnsi="Arial" w:eastAsia="仿宋_GB2312" w:cs="Arial"/>
          <w:color w:val="000000"/>
          <w:kern w:val="0"/>
          <w:sz w:val="24"/>
          <w:szCs w:val="24"/>
          <w:lang w:bidi="en-US"/>
        </w:rPr>
      </w:pPr>
      <w:r>
        <w:rPr>
          <w:rFonts w:hint="eastAsia" w:ascii="仿宋_GB2312" w:hAnsi="Arial" w:eastAsia="仿宋_GB2312" w:cs="Arial"/>
          <w:color w:val="000000"/>
          <w:kern w:val="0"/>
          <w:sz w:val="24"/>
          <w:szCs w:val="24"/>
          <w:lang w:bidi="en-US"/>
        </w:rPr>
        <w:t xml:space="preserve">本《风险揭示书》的揭示事项仅为列举性质，未能详尽列明科创板股票交易的所有风险，投资者在参与交易前，应当认真阅读有关法律法规和交易所业务规则等相关规定，对其他可能存在的风险因素也应当有所了解和掌握，并确信自己已做好足够的风险评估与财务安排，避免因参与科创板股票交易遭受难以承受的损失。 </w:t>
      </w:r>
    </w:p>
    <w:p w14:paraId="4A1A7EFD">
      <w:pPr>
        <w:overflowPunct w:val="0"/>
        <w:autoSpaceDE w:val="0"/>
        <w:autoSpaceDN w:val="0"/>
        <w:adjustRightInd w:val="0"/>
        <w:snapToGrid w:val="0"/>
        <w:spacing w:line="400" w:lineRule="exact"/>
        <w:ind w:firstLine="480" w:firstLineChars="200"/>
        <w:rPr>
          <w:rFonts w:ascii="Arial" w:hAnsi="Arial" w:eastAsia="仿宋_GB2312" w:cs="Arial"/>
          <w:color w:val="000000"/>
          <w:kern w:val="0"/>
          <w:sz w:val="24"/>
          <w:szCs w:val="24"/>
          <w:lang w:bidi="en-US"/>
        </w:rPr>
      </w:pPr>
      <w:r>
        <w:rPr>
          <w:rFonts w:hint="eastAsia" w:ascii="Arial" w:hAnsi="Arial" w:eastAsia="仿宋_GB2312" w:cs="Arial"/>
          <w:color w:val="000000"/>
          <w:sz w:val="24"/>
          <w:szCs w:val="24"/>
        </w:rPr>
        <w:t>签署本人姓名则表示：您</w:t>
      </w:r>
      <w:r>
        <w:rPr>
          <w:rFonts w:ascii="Arial" w:hAnsi="Arial" w:eastAsia="仿宋_GB2312" w:cs="Arial"/>
          <w:color w:val="000000"/>
          <w:sz w:val="24"/>
          <w:szCs w:val="24"/>
        </w:rPr>
        <w:t>/本机构已经理解并愿意自行承担参与</w:t>
      </w:r>
      <w:r>
        <w:rPr>
          <w:rFonts w:hint="eastAsia" w:ascii="仿宋_GB2312" w:hAnsi="Arial" w:eastAsia="仿宋_GB2312" w:cs="Arial"/>
          <w:color w:val="000000"/>
          <w:kern w:val="0"/>
          <w:sz w:val="24"/>
          <w:szCs w:val="24"/>
          <w:lang w:bidi="en-US"/>
        </w:rPr>
        <w:t>科创板股票交易</w:t>
      </w:r>
      <w:r>
        <w:rPr>
          <w:rFonts w:ascii="Arial" w:hAnsi="Arial" w:eastAsia="仿宋_GB2312" w:cs="Arial"/>
          <w:color w:val="000000"/>
          <w:sz w:val="24"/>
          <w:szCs w:val="24"/>
        </w:rPr>
        <w:t>的风险和损失。</w:t>
      </w:r>
    </w:p>
    <w:p w14:paraId="2183D812">
      <w:pPr>
        <w:overflowPunct w:val="0"/>
        <w:autoSpaceDE w:val="0"/>
        <w:autoSpaceDN w:val="0"/>
        <w:adjustRightInd w:val="0"/>
        <w:snapToGrid w:val="0"/>
        <w:spacing w:line="400" w:lineRule="exact"/>
        <w:ind w:firstLine="480" w:firstLineChars="200"/>
        <w:rPr>
          <w:rFonts w:hint="eastAsia" w:ascii="Arial" w:hAnsi="Arial" w:eastAsia="仿宋_GB2312" w:cs="Arial"/>
          <w:color w:val="000000"/>
          <w:kern w:val="0"/>
          <w:sz w:val="24"/>
          <w:szCs w:val="24"/>
          <w:lang w:bidi="en-US"/>
        </w:rPr>
      </w:pPr>
    </w:p>
    <w:p w14:paraId="5E459EAD">
      <w:pPr>
        <w:overflowPunct w:val="0"/>
        <w:autoSpaceDE w:val="0"/>
        <w:autoSpaceDN w:val="0"/>
        <w:adjustRightInd w:val="0"/>
        <w:snapToGrid w:val="0"/>
        <w:spacing w:line="400" w:lineRule="exact"/>
        <w:ind w:firstLine="480" w:firstLineChars="200"/>
        <w:rPr>
          <w:rFonts w:ascii="Arial" w:hAnsi="Arial" w:eastAsia="仿宋_GB2312" w:cs="Arial"/>
          <w:bCs/>
          <w:color w:val="000000"/>
          <w:kern w:val="0"/>
          <w:sz w:val="24"/>
          <w:szCs w:val="24"/>
          <w:lang w:bidi="en-US"/>
        </w:rPr>
      </w:pPr>
      <w:r>
        <w:rPr>
          <w:rFonts w:hint="eastAsia" w:ascii="Arial" w:hAnsi="Arial" w:eastAsia="仿宋_GB2312" w:cs="Arial"/>
          <w:bCs/>
          <w:color w:val="000000"/>
          <w:kern w:val="0"/>
          <w:sz w:val="24"/>
          <w:szCs w:val="24"/>
          <w:lang w:bidi="en-US"/>
        </w:rPr>
        <w:t>客户（个人签字/机构盖章）：              证券营业机构（盖章）：</w:t>
      </w:r>
    </w:p>
    <w:p w14:paraId="3009C4A7">
      <w:pPr>
        <w:overflowPunct w:val="0"/>
        <w:autoSpaceDE w:val="0"/>
        <w:autoSpaceDN w:val="0"/>
        <w:adjustRightInd w:val="0"/>
        <w:snapToGrid w:val="0"/>
        <w:spacing w:line="400" w:lineRule="exact"/>
        <w:ind w:firstLine="480" w:firstLineChars="200"/>
        <w:rPr>
          <w:rFonts w:ascii="Arial" w:hAnsi="Arial" w:eastAsia="仿宋_GB2312" w:cs="Arial"/>
          <w:bCs/>
          <w:color w:val="000000"/>
          <w:kern w:val="0"/>
          <w:sz w:val="24"/>
          <w:szCs w:val="24"/>
          <w:lang w:bidi="en-US"/>
        </w:rPr>
      </w:pPr>
    </w:p>
    <w:p w14:paraId="2A058C9C">
      <w:pPr>
        <w:overflowPunct w:val="0"/>
        <w:autoSpaceDE w:val="0"/>
        <w:autoSpaceDN w:val="0"/>
        <w:adjustRightInd w:val="0"/>
        <w:snapToGrid w:val="0"/>
        <w:spacing w:line="400" w:lineRule="exact"/>
        <w:ind w:firstLine="480" w:firstLineChars="200"/>
        <w:rPr>
          <w:rFonts w:ascii="Arial" w:hAnsi="Arial" w:eastAsia="仿宋_GB2312" w:cs="Arial"/>
          <w:bCs/>
          <w:color w:val="000000"/>
          <w:kern w:val="0"/>
          <w:sz w:val="24"/>
          <w:szCs w:val="24"/>
          <w:lang w:bidi="en-US"/>
        </w:rPr>
      </w:pPr>
      <w:r>
        <w:rPr>
          <w:rFonts w:hint="eastAsia" w:ascii="Arial" w:hAnsi="Arial" w:eastAsia="仿宋_GB2312" w:cs="Arial"/>
          <w:bCs/>
          <w:color w:val="000000"/>
          <w:kern w:val="0"/>
          <w:sz w:val="24"/>
          <w:szCs w:val="24"/>
          <w:lang w:bidi="en-US"/>
        </w:rPr>
        <w:t>机构经办人：</w:t>
      </w:r>
    </w:p>
    <w:p w14:paraId="450A400D">
      <w:pPr>
        <w:overflowPunct w:val="0"/>
        <w:autoSpaceDE w:val="0"/>
        <w:autoSpaceDN w:val="0"/>
        <w:adjustRightInd w:val="0"/>
        <w:snapToGrid w:val="0"/>
        <w:spacing w:line="400" w:lineRule="exact"/>
        <w:ind w:firstLine="480" w:firstLineChars="200"/>
        <w:rPr>
          <w:rFonts w:ascii="Arial" w:hAnsi="Arial" w:eastAsia="仿宋_GB2312" w:cs="Arial"/>
          <w:bCs/>
          <w:color w:val="000000"/>
          <w:kern w:val="0"/>
          <w:sz w:val="24"/>
          <w:szCs w:val="24"/>
          <w:lang w:bidi="en-US"/>
        </w:rPr>
      </w:pPr>
    </w:p>
    <w:p w14:paraId="1B81EFB3">
      <w:pPr>
        <w:overflowPunct w:val="0"/>
        <w:autoSpaceDE w:val="0"/>
        <w:autoSpaceDN w:val="0"/>
        <w:adjustRightInd w:val="0"/>
        <w:snapToGrid w:val="0"/>
        <w:spacing w:line="400" w:lineRule="exact"/>
        <w:ind w:firstLine="480" w:firstLineChars="200"/>
        <w:rPr>
          <w:rFonts w:ascii="Arial" w:hAnsi="Arial" w:eastAsia="仿宋_GB2312" w:cs="Arial"/>
          <w:bCs/>
          <w:color w:val="000000"/>
          <w:kern w:val="0"/>
          <w:sz w:val="24"/>
          <w:szCs w:val="24"/>
          <w:lang w:bidi="en-US"/>
        </w:rPr>
      </w:pPr>
      <w:r>
        <w:rPr>
          <w:rFonts w:hint="eastAsia" w:ascii="Arial" w:hAnsi="Arial" w:eastAsia="仿宋_GB2312" w:cs="Arial"/>
          <w:bCs/>
          <w:color w:val="000000"/>
          <w:kern w:val="0"/>
          <w:sz w:val="24"/>
          <w:szCs w:val="24"/>
          <w:lang w:bidi="en-US"/>
        </w:rPr>
        <w:t>签署日期：   年    月   日               签署日期：   年    月   日</w:t>
      </w:r>
    </w:p>
    <w:p w14:paraId="091E2009">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03CA9"/>
    <w:rsid w:val="0840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2026-07-03T06:19:00Z</dcterms:created>
  <dc:creator>李琛</dc:creator>
  <cp:lastModifiedBy>李琛</cp:lastModifiedBy>
  <dcterms:modified xsi:type="dcterms:W3CDTF">2026-07-03T06:19:51Z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753C7658A9DD4FC0A75C54C2E5E7726B_11</vt:lpwstr>
  </property>
  <property fmtid="{D5CDD505-2E9C-101B-9397-08002B2CF9AE}" pid="4" name="KSOTemplateDocerSaveRecord">
    <vt:lpwstr>eyJoZGlkIjoiMWE4M2E5NTUxMmRhYmEyNmQxMTQ4N2U1MzdkNjBjYTEiLCJ1c2VySWQiOiIyMTA3NjM2MjcifQ==</vt:lpwstr>
  </property>
</Properties>
</file>