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D8A5D">
      <w:pPr>
        <w:keepNext w:val="0"/>
        <w:keepLines w:val="0"/>
        <w:pageBreakBefore w:val="0"/>
        <w:widowControl/>
        <w:kinsoku/>
        <w:wordWrap/>
        <w:topLinePunct w:val="0"/>
        <w:autoSpaceDE/>
        <w:autoSpaceDN/>
        <w:bidi w:val="0"/>
        <w:adjustRightInd w:val="0"/>
        <w:snapToGrid w:val="0"/>
        <w:spacing w:line="400" w:lineRule="exact"/>
        <w:jc w:val="center"/>
        <w:textAlignment w:val="auto"/>
        <w:rPr>
          <w:rFonts w:hint="eastAsia" w:ascii="Arial" w:hAnsi="Arial" w:eastAsia="仿宋_GB2312"/>
          <w:kern w:val="0"/>
          <w:sz w:val="24"/>
          <w:szCs w:val="24"/>
          <w:lang w:val="en-US" w:eastAsia="zh-CN" w:bidi="en-US"/>
        </w:rPr>
      </w:pPr>
      <w:bookmarkStart w:id="0" w:name="_Hlk61446521"/>
    </w:p>
    <w:p w14:paraId="51B342A5">
      <w:pPr>
        <w:keepNext w:val="0"/>
        <w:keepLines w:val="0"/>
        <w:pageBreakBefore w:val="0"/>
        <w:widowControl/>
        <w:kinsoku/>
        <w:wordWrap/>
        <w:topLinePunct w:val="0"/>
        <w:autoSpaceDE/>
        <w:autoSpaceDN/>
        <w:bidi w:val="0"/>
        <w:adjustRightInd w:val="0"/>
        <w:snapToGrid w:val="0"/>
        <w:spacing w:line="400" w:lineRule="exact"/>
        <w:jc w:val="center"/>
        <w:textAlignment w:val="auto"/>
        <w:rPr>
          <w:rFonts w:hint="eastAsia" w:ascii="宋体" w:hAnsi="宋体" w:cs="Arial"/>
          <w:b/>
          <w:kern w:val="0"/>
          <w:sz w:val="36"/>
          <w:szCs w:val="36"/>
          <w:lang w:bidi="en-US"/>
        </w:rPr>
      </w:pPr>
      <w:r>
        <w:rPr>
          <w:rFonts w:hint="eastAsia" w:ascii="Arial" w:hAnsi="Arial" w:eastAsia="仿宋_GB2312"/>
          <w:kern w:val="0"/>
          <w:sz w:val="24"/>
          <w:szCs w:val="24"/>
          <w:lang w:val="en-US" w:eastAsia="zh-CN" w:bidi="en-US"/>
        </w:rPr>
        <w:t xml:space="preserve"> </w:t>
      </w:r>
      <w:bookmarkStart w:id="1" w:name="_GoBack"/>
      <w:r>
        <w:rPr>
          <w:rFonts w:hint="eastAsia" w:ascii="宋体" w:hAnsi="宋体" w:cs="Arial"/>
          <w:b/>
          <w:kern w:val="0"/>
          <w:sz w:val="36"/>
          <w:szCs w:val="36"/>
          <w:lang w:bidi="en-US"/>
        </w:rPr>
        <w:t>大同证券有限责任公司</w:t>
      </w:r>
    </w:p>
    <w:p w14:paraId="71137586">
      <w:pPr>
        <w:keepNext w:val="0"/>
        <w:keepLines w:val="0"/>
        <w:pageBreakBefore w:val="0"/>
        <w:widowControl/>
        <w:kinsoku/>
        <w:wordWrap/>
        <w:topLinePunct w:val="0"/>
        <w:autoSpaceDE/>
        <w:autoSpaceDN/>
        <w:bidi w:val="0"/>
        <w:adjustRightInd w:val="0"/>
        <w:snapToGrid w:val="0"/>
        <w:spacing w:line="400" w:lineRule="exact"/>
        <w:jc w:val="center"/>
        <w:textAlignment w:val="auto"/>
        <w:rPr>
          <w:rFonts w:ascii="宋体" w:hAnsi="宋体" w:cs="Arial"/>
          <w:b/>
          <w:kern w:val="0"/>
          <w:sz w:val="36"/>
          <w:szCs w:val="36"/>
          <w:lang w:bidi="en-US"/>
        </w:rPr>
      </w:pPr>
      <w:r>
        <w:rPr>
          <w:rFonts w:hint="eastAsia" w:ascii="宋体" w:hAnsi="宋体" w:cs="Arial"/>
          <w:b/>
          <w:kern w:val="0"/>
          <w:sz w:val="36"/>
          <w:szCs w:val="36"/>
          <w:lang w:bidi="en-US"/>
        </w:rPr>
        <w:t>风险警示股票投资者风险揭示书</w:t>
      </w:r>
      <w:bookmarkEnd w:id="1"/>
    </w:p>
    <w:bookmarkEnd w:id="0"/>
    <w:p w14:paraId="12BC4034">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Arial" w:hAnsi="Arial" w:eastAsia="仿宋_GB2312" w:cs="Arial"/>
          <w:kern w:val="0"/>
          <w:sz w:val="24"/>
          <w:szCs w:val="24"/>
          <w:lang w:bidi="en-US"/>
        </w:rPr>
      </w:pPr>
    </w:p>
    <w:p w14:paraId="034FE012">
      <w:pPr>
        <w:keepNext w:val="0"/>
        <w:keepLines w:val="0"/>
        <w:pageBreakBefore w:val="0"/>
        <w:kinsoku/>
        <w:wordWrap/>
        <w:topLinePunct w:val="0"/>
        <w:autoSpaceDE/>
        <w:autoSpaceDN/>
        <w:bidi w:val="0"/>
        <w:adjustRightInd w:val="0"/>
        <w:snapToGrid w:val="0"/>
        <w:spacing w:line="400" w:lineRule="exact"/>
        <w:textAlignment w:val="auto"/>
        <w:rPr>
          <w:rFonts w:ascii="Arial" w:hAnsi="Arial" w:eastAsia="仿宋_GB2312" w:cs="Arial"/>
          <w:bCs/>
          <w:sz w:val="24"/>
          <w:szCs w:val="24"/>
        </w:rPr>
      </w:pPr>
      <w:r>
        <w:rPr>
          <w:rFonts w:ascii="Arial" w:hAnsi="Arial" w:eastAsia="仿宋_GB2312" w:cs="Arial"/>
          <w:bCs/>
          <w:sz w:val="24"/>
          <w:szCs w:val="24"/>
        </w:rPr>
        <w:t>尊敬的投资者：</w:t>
      </w:r>
    </w:p>
    <w:p w14:paraId="017809C8">
      <w:pPr>
        <w:keepNext w:val="0"/>
        <w:keepLines w:val="0"/>
        <w:pageBreakBefore w:val="0"/>
        <w:kinsoku/>
        <w:wordWrap/>
        <w:topLinePunct w:val="0"/>
        <w:autoSpaceDE/>
        <w:autoSpaceDN/>
        <w:bidi w:val="0"/>
        <w:adjustRightInd w:val="0"/>
        <w:snapToGrid w:val="0"/>
        <w:spacing w:line="400" w:lineRule="exact"/>
        <w:ind w:firstLine="480" w:firstLineChars="200"/>
        <w:textAlignment w:val="auto"/>
        <w:rPr>
          <w:rFonts w:ascii="Arial" w:hAnsi="Arial" w:eastAsia="仿宋_GB2312" w:cs="Arial"/>
          <w:color w:val="000000"/>
          <w:sz w:val="24"/>
          <w:szCs w:val="24"/>
        </w:rPr>
      </w:pPr>
      <w:r>
        <w:rPr>
          <w:rFonts w:ascii="Arial" w:hAnsi="Arial" w:eastAsia="仿宋_GB2312" w:cs="Arial"/>
          <w:color w:val="000000"/>
          <w:sz w:val="24"/>
          <w:szCs w:val="24"/>
        </w:rPr>
        <w:t>为了使您充分了解参与被实施风险警示的股票（以下简称</w:t>
      </w:r>
      <w:r>
        <w:rPr>
          <w:rFonts w:hint="eastAsia" w:ascii="Arial" w:hAnsi="Arial" w:eastAsia="仿宋_GB2312" w:cs="Arial"/>
          <w:color w:val="000000"/>
          <w:sz w:val="24"/>
          <w:szCs w:val="24"/>
        </w:rPr>
        <w:t>“风险警示股票”</w:t>
      </w:r>
      <w:r>
        <w:rPr>
          <w:rFonts w:ascii="Arial" w:hAnsi="Arial" w:eastAsia="仿宋_GB2312" w:cs="Arial"/>
          <w:color w:val="000000"/>
          <w:sz w:val="24"/>
          <w:szCs w:val="24"/>
        </w:rPr>
        <w:t>）交易面临的风险，根据《股票上市规则》、《会员管理规则》，以及相关业务规则的规定，特提供本风险揭示书，请您认真详细阅读：</w:t>
      </w:r>
    </w:p>
    <w:p w14:paraId="1140B1D7">
      <w:pPr>
        <w:keepNext w:val="0"/>
        <w:keepLines w:val="0"/>
        <w:pageBreakBefore w:val="0"/>
        <w:kinsoku/>
        <w:wordWrap/>
        <w:topLinePunct w:val="0"/>
        <w:autoSpaceDE/>
        <w:autoSpaceDN/>
        <w:bidi w:val="0"/>
        <w:adjustRightInd w:val="0"/>
        <w:snapToGrid w:val="0"/>
        <w:spacing w:line="400" w:lineRule="exact"/>
        <w:ind w:firstLine="480" w:firstLineChars="200"/>
        <w:textAlignment w:val="auto"/>
        <w:rPr>
          <w:rFonts w:ascii="Arial" w:hAnsi="Arial" w:eastAsia="仿宋_GB2312" w:cs="Arial"/>
          <w:color w:val="000000"/>
          <w:sz w:val="24"/>
          <w:szCs w:val="24"/>
        </w:rPr>
      </w:pPr>
      <w:r>
        <w:rPr>
          <w:rFonts w:hint="eastAsia" w:ascii="Arial" w:hAnsi="Arial" w:eastAsia="仿宋_GB2312" w:cs="Arial"/>
          <w:color w:val="000000"/>
          <w:sz w:val="24"/>
          <w:szCs w:val="24"/>
        </w:rPr>
        <w:t>一、投资者在参与风险警示股票交易前，应充分了解风险警示制度、风险警示股票交易规定和被实施风险警示上市公司的基本面情况，并根据自身财务状况、实际需求及风险承受能力等，审慎考虑是否买入风险警示股票。</w:t>
      </w:r>
    </w:p>
    <w:p w14:paraId="6516F8B9">
      <w:pPr>
        <w:keepNext w:val="0"/>
        <w:keepLines w:val="0"/>
        <w:pageBreakBefore w:val="0"/>
        <w:kinsoku/>
        <w:wordWrap/>
        <w:topLinePunct w:val="0"/>
        <w:autoSpaceDE/>
        <w:autoSpaceDN/>
        <w:bidi w:val="0"/>
        <w:adjustRightInd w:val="0"/>
        <w:snapToGrid w:val="0"/>
        <w:spacing w:line="400" w:lineRule="exact"/>
        <w:ind w:firstLine="480" w:firstLineChars="200"/>
        <w:textAlignment w:val="auto"/>
        <w:rPr>
          <w:rFonts w:ascii="Arial" w:hAnsi="Arial" w:eastAsia="仿宋_GB2312" w:cs="Arial"/>
          <w:color w:val="000000"/>
          <w:sz w:val="24"/>
          <w:szCs w:val="24"/>
        </w:rPr>
      </w:pPr>
      <w:r>
        <w:rPr>
          <w:rFonts w:hint="eastAsia" w:ascii="Arial" w:hAnsi="Arial" w:eastAsia="仿宋_GB2312" w:cs="Arial"/>
          <w:color w:val="000000"/>
          <w:sz w:val="24"/>
          <w:szCs w:val="24"/>
        </w:rPr>
        <w:t>二、上市公司出现财务状况或者其他状况异常，导致其股票存在终止上市风险，或者投资者难以判断公司前景，其投资权益可能受到损害的，深圳证券交易所可以对该公司股票交易实施风险警示。</w:t>
      </w:r>
    </w:p>
    <w:p w14:paraId="34111B75">
      <w:pPr>
        <w:keepNext w:val="0"/>
        <w:keepLines w:val="0"/>
        <w:pageBreakBefore w:val="0"/>
        <w:kinsoku/>
        <w:wordWrap/>
        <w:topLinePunct w:val="0"/>
        <w:autoSpaceDE/>
        <w:autoSpaceDN/>
        <w:bidi w:val="0"/>
        <w:adjustRightInd w:val="0"/>
        <w:snapToGrid w:val="0"/>
        <w:spacing w:line="400" w:lineRule="exact"/>
        <w:ind w:firstLine="480" w:firstLineChars="200"/>
        <w:textAlignment w:val="auto"/>
        <w:rPr>
          <w:rFonts w:ascii="Arial" w:hAnsi="Arial" w:eastAsia="仿宋_GB2312" w:cs="Arial"/>
          <w:color w:val="000000"/>
          <w:sz w:val="24"/>
          <w:szCs w:val="24"/>
        </w:rPr>
      </w:pPr>
      <w:r>
        <w:rPr>
          <w:rFonts w:hint="eastAsia" w:ascii="Arial" w:hAnsi="Arial" w:eastAsia="仿宋_GB2312" w:cs="Arial"/>
          <w:color w:val="000000"/>
          <w:sz w:val="24"/>
          <w:szCs w:val="24"/>
        </w:rPr>
        <w:t>三、深市上市公司股票交易被实施退市风险警示的，在股票简称前冠以“*ST”字样，被实施其他风险警示的，在股票简称前冠以“ST”字样，以区别于其他股票。公司同时存在退市风险警示和其他风险警示情形的，在股票简称前冠以“*ST”字样。</w:t>
      </w:r>
    </w:p>
    <w:p w14:paraId="1AF67D84">
      <w:pPr>
        <w:keepNext w:val="0"/>
        <w:keepLines w:val="0"/>
        <w:pageBreakBefore w:val="0"/>
        <w:kinsoku/>
        <w:wordWrap/>
        <w:topLinePunct w:val="0"/>
        <w:autoSpaceDE/>
        <w:autoSpaceDN/>
        <w:bidi w:val="0"/>
        <w:adjustRightInd w:val="0"/>
        <w:snapToGrid w:val="0"/>
        <w:spacing w:line="400" w:lineRule="exact"/>
        <w:ind w:firstLine="480" w:firstLineChars="200"/>
        <w:textAlignment w:val="auto"/>
        <w:rPr>
          <w:rFonts w:ascii="Arial" w:hAnsi="Arial" w:eastAsia="仿宋_GB2312" w:cs="Arial"/>
          <w:color w:val="000000"/>
          <w:sz w:val="24"/>
          <w:szCs w:val="24"/>
        </w:rPr>
      </w:pPr>
      <w:r>
        <w:rPr>
          <w:rFonts w:hint="eastAsia" w:ascii="Arial" w:hAnsi="Arial" w:eastAsia="仿宋_GB2312" w:cs="Arial"/>
          <w:color w:val="000000"/>
          <w:sz w:val="24"/>
          <w:szCs w:val="24"/>
        </w:rPr>
        <w:t>深市退市风险警示股票和其他风险警示股票进入风险警示板交易。</w:t>
      </w:r>
    </w:p>
    <w:p w14:paraId="389C6407">
      <w:pPr>
        <w:keepNext w:val="0"/>
        <w:keepLines w:val="0"/>
        <w:pageBreakBefore w:val="0"/>
        <w:kinsoku/>
        <w:wordWrap/>
        <w:topLinePunct w:val="0"/>
        <w:autoSpaceDE/>
        <w:autoSpaceDN/>
        <w:bidi w:val="0"/>
        <w:adjustRightInd w:val="0"/>
        <w:snapToGrid w:val="0"/>
        <w:spacing w:line="400" w:lineRule="exact"/>
        <w:ind w:firstLine="480" w:firstLineChars="200"/>
        <w:textAlignment w:val="auto"/>
        <w:rPr>
          <w:rFonts w:ascii="Arial" w:hAnsi="Arial" w:eastAsia="仿宋_GB2312" w:cs="Arial"/>
          <w:strike/>
          <w:sz w:val="24"/>
          <w:szCs w:val="24"/>
        </w:rPr>
      </w:pPr>
      <w:r>
        <w:rPr>
          <w:rFonts w:hint="eastAsia" w:ascii="Arial" w:hAnsi="Arial" w:eastAsia="仿宋_GB2312" w:cs="Arial"/>
          <w:color w:val="000000"/>
          <w:sz w:val="24"/>
          <w:szCs w:val="24"/>
        </w:rPr>
        <w:t>四、投资者在参与风险警示股票交易前，</w:t>
      </w:r>
      <w:r>
        <w:rPr>
          <w:rFonts w:ascii="Arial" w:hAnsi="Arial" w:eastAsia="仿宋_GB2312"/>
          <w:kern w:val="0"/>
          <w:sz w:val="24"/>
          <w:szCs w:val="24"/>
        </w:rPr>
        <w:t>应充分了解投资者买卖风险警示股票应当采用限价委托的方式</w:t>
      </w:r>
      <w:r>
        <w:rPr>
          <w:rFonts w:hint="eastAsia" w:ascii="Arial" w:hAnsi="Arial" w:eastAsia="仿宋_GB2312"/>
          <w:kern w:val="0"/>
          <w:sz w:val="24"/>
          <w:szCs w:val="24"/>
          <w:lang w:eastAsia="zh-CN"/>
        </w:rPr>
        <w:t>；</w:t>
      </w:r>
      <w:r>
        <w:rPr>
          <w:rFonts w:hint="eastAsia" w:ascii="Arial" w:hAnsi="Arial" w:eastAsia="仿宋_GB2312" w:cs="Arial"/>
          <w:kern w:val="0"/>
          <w:sz w:val="24"/>
          <w:szCs w:val="24"/>
          <w:lang w:bidi="en-US"/>
        </w:rPr>
        <w:t>应充分了解风险警示股票行情揭示可能与其他股票不同。</w:t>
      </w:r>
      <w:r>
        <w:rPr>
          <w:rFonts w:hint="eastAsia" w:ascii="Arial" w:hAnsi="Arial" w:eastAsia="仿宋_GB2312" w:cs="Arial"/>
          <w:strike w:val="0"/>
          <w:sz w:val="24"/>
          <w:szCs w:val="24"/>
        </w:rPr>
        <w:t>。</w:t>
      </w:r>
    </w:p>
    <w:p w14:paraId="74C38AD7">
      <w:pPr>
        <w:keepNext w:val="0"/>
        <w:keepLines w:val="0"/>
        <w:pageBreakBefore w:val="0"/>
        <w:kinsoku/>
        <w:wordWrap/>
        <w:topLinePunct w:val="0"/>
        <w:autoSpaceDE/>
        <w:autoSpaceDN/>
        <w:bidi w:val="0"/>
        <w:adjustRightInd w:val="0"/>
        <w:snapToGrid w:val="0"/>
        <w:spacing w:line="400" w:lineRule="exact"/>
        <w:ind w:firstLine="480" w:firstLineChars="200"/>
        <w:textAlignment w:val="auto"/>
        <w:rPr>
          <w:rFonts w:ascii="Arial" w:hAnsi="Arial" w:eastAsia="仿宋_GB2312" w:cs="Arial"/>
          <w:color w:val="000000"/>
          <w:sz w:val="24"/>
          <w:szCs w:val="24"/>
        </w:rPr>
      </w:pPr>
      <w:r>
        <w:rPr>
          <w:rFonts w:hint="eastAsia" w:ascii="Arial" w:hAnsi="Arial" w:eastAsia="仿宋_GB2312" w:cs="Arial"/>
          <w:color w:val="000000"/>
          <w:sz w:val="24"/>
          <w:szCs w:val="24"/>
        </w:rPr>
        <w:t>五、投资者当日通过竞价交易、大宗交易和</w:t>
      </w:r>
      <w:r>
        <w:rPr>
          <w:rFonts w:hint="eastAsia" w:ascii="Arial" w:hAnsi="Arial" w:eastAsia="仿宋_GB2312" w:cs="Arial"/>
          <w:sz w:val="24"/>
          <w:szCs w:val="24"/>
        </w:rPr>
        <w:t>盘后固定价格交易累计买入的单只风险警示股票，委托买入数量与当日已买入数量及已申报买入但尚未成交、也未撤销的数量之和，</w:t>
      </w:r>
      <w:r>
        <w:rPr>
          <w:rFonts w:hint="eastAsia" w:ascii="Arial" w:hAnsi="Arial" w:eastAsia="仿宋_GB2312" w:cs="Arial"/>
          <w:color w:val="000000"/>
          <w:sz w:val="24"/>
          <w:szCs w:val="24"/>
        </w:rPr>
        <w:t>不得超过50万股，上市公司回购股份、</w:t>
      </w:r>
      <w:r>
        <w:rPr>
          <w:rFonts w:ascii="Arial" w:hAnsi="Arial" w:eastAsia="仿宋_GB2312" w:cs="Arial"/>
          <w:color w:val="000000"/>
          <w:sz w:val="24"/>
          <w:szCs w:val="24"/>
        </w:rPr>
        <w:t>5%以上股东根据已披露的增持计划增持股份可不受前述50万股买入限制</w:t>
      </w:r>
      <w:r>
        <w:rPr>
          <w:rFonts w:hint="eastAsia" w:ascii="Arial" w:hAnsi="Arial" w:eastAsia="仿宋_GB2312" w:cs="Arial"/>
          <w:color w:val="000000"/>
          <w:sz w:val="24"/>
          <w:szCs w:val="24"/>
        </w:rPr>
        <w:t>；投资者当日累计买入风险警示股票数量，按照该投资者同一证券账户在单个或者多个证券公司的不同证券营业部的买入数量、以本人名义开立的单个或者多个普通证券账户与</w:t>
      </w:r>
      <w:r>
        <w:rPr>
          <w:rFonts w:hint="eastAsia" w:ascii="Arial" w:hAnsi="Arial" w:eastAsia="仿宋_GB2312" w:cs="Arial"/>
          <w:color w:val="000000"/>
          <w:sz w:val="24"/>
          <w:szCs w:val="24"/>
          <w:lang w:val="en-US" w:eastAsia="zh-CN"/>
        </w:rPr>
        <w:t>融资融券</w:t>
      </w:r>
      <w:r>
        <w:rPr>
          <w:rFonts w:hint="eastAsia" w:ascii="Arial" w:hAnsi="Arial" w:eastAsia="仿宋_GB2312" w:cs="Arial"/>
          <w:color w:val="000000"/>
          <w:sz w:val="24"/>
          <w:szCs w:val="24"/>
        </w:rPr>
        <w:t>信用证券账户的买入数量合并计算。</w:t>
      </w:r>
    </w:p>
    <w:p w14:paraId="730ED11B">
      <w:pPr>
        <w:keepNext w:val="0"/>
        <w:keepLines w:val="0"/>
        <w:pageBreakBefore w:val="0"/>
        <w:kinsoku/>
        <w:wordWrap/>
        <w:topLinePunct w:val="0"/>
        <w:autoSpaceDE/>
        <w:autoSpaceDN/>
        <w:bidi w:val="0"/>
        <w:adjustRightInd w:val="0"/>
        <w:snapToGrid w:val="0"/>
        <w:spacing w:line="400" w:lineRule="exact"/>
        <w:ind w:firstLine="480" w:firstLineChars="200"/>
        <w:textAlignment w:val="auto"/>
        <w:rPr>
          <w:rFonts w:ascii="Arial" w:hAnsi="Arial" w:eastAsia="仿宋_GB2312" w:cs="Arial"/>
          <w:color w:val="000000"/>
          <w:sz w:val="24"/>
          <w:szCs w:val="24"/>
        </w:rPr>
      </w:pPr>
      <w:r>
        <w:rPr>
          <w:rFonts w:hint="eastAsia" w:ascii="Arial" w:hAnsi="Arial" w:eastAsia="仿宋_GB2312" w:cs="Arial"/>
          <w:color w:val="000000"/>
          <w:sz w:val="24"/>
          <w:szCs w:val="24"/>
        </w:rPr>
        <w:t>六、投资者应当特别关注股票被实施风险警示的上市公司发布的提示性公告，及时从上市公司网站、证券交易所网站、符合中国证监会规定条件的信息披露媒体以及证券公司网站等渠道获取相关信息。</w:t>
      </w:r>
    </w:p>
    <w:p w14:paraId="370AB181">
      <w:pPr>
        <w:keepNext w:val="0"/>
        <w:keepLines w:val="0"/>
        <w:pageBreakBefore w:val="0"/>
        <w:kinsoku/>
        <w:wordWrap/>
        <w:topLinePunct w:val="0"/>
        <w:autoSpaceDE/>
        <w:autoSpaceDN/>
        <w:bidi w:val="0"/>
        <w:adjustRightInd w:val="0"/>
        <w:snapToGrid w:val="0"/>
        <w:spacing w:line="400" w:lineRule="exact"/>
        <w:ind w:firstLine="480" w:firstLineChars="200"/>
        <w:textAlignment w:val="auto"/>
        <w:rPr>
          <w:rFonts w:ascii="Arial" w:hAnsi="Arial" w:eastAsia="仿宋_GB2312" w:cs="Arial"/>
          <w:color w:val="000000"/>
          <w:sz w:val="24"/>
          <w:szCs w:val="24"/>
        </w:rPr>
      </w:pPr>
      <w:r>
        <w:rPr>
          <w:rFonts w:hint="eastAsia" w:ascii="Arial" w:hAnsi="Arial" w:eastAsia="仿宋_GB2312" w:cs="Arial"/>
          <w:color w:val="000000"/>
          <w:sz w:val="24"/>
          <w:szCs w:val="24"/>
        </w:rPr>
        <w:t>七、风险警示股票相关法律、行政法规、部门规章、规范性文件（以下简称法律法规）、证券交易所和登记结算机构业务规则可能根据市场情况进行制定、废止和修改，投资者应当及时予以关注和了解。</w:t>
      </w:r>
    </w:p>
    <w:p w14:paraId="29CC443F">
      <w:pPr>
        <w:keepNext w:val="0"/>
        <w:keepLines w:val="0"/>
        <w:pageBreakBefore w:val="0"/>
        <w:kinsoku/>
        <w:wordWrap/>
        <w:topLinePunct w:val="0"/>
        <w:autoSpaceDE/>
        <w:autoSpaceDN/>
        <w:bidi w:val="0"/>
        <w:adjustRightInd w:val="0"/>
        <w:snapToGrid w:val="0"/>
        <w:spacing w:line="400" w:lineRule="exact"/>
        <w:textAlignment w:val="auto"/>
        <w:rPr>
          <w:rFonts w:ascii="Arial" w:hAnsi="Arial" w:eastAsia="仿宋_GB2312" w:cs="Arial"/>
          <w:color w:val="000000"/>
          <w:sz w:val="24"/>
          <w:szCs w:val="24"/>
        </w:rPr>
      </w:pPr>
    </w:p>
    <w:p w14:paraId="5953BEDC">
      <w:pPr>
        <w:keepNext w:val="0"/>
        <w:keepLines w:val="0"/>
        <w:pageBreakBefore w:val="0"/>
        <w:kinsoku/>
        <w:wordWrap/>
        <w:topLinePunct w:val="0"/>
        <w:autoSpaceDE/>
        <w:autoSpaceDN/>
        <w:bidi w:val="0"/>
        <w:adjustRightInd w:val="0"/>
        <w:snapToGrid w:val="0"/>
        <w:spacing w:line="400" w:lineRule="exact"/>
        <w:ind w:firstLine="482" w:firstLineChars="200"/>
        <w:textAlignment w:val="auto"/>
        <w:rPr>
          <w:rFonts w:ascii="Arial" w:hAnsi="Arial" w:eastAsia="仿宋_GB2312" w:cs="Arial"/>
          <w:b/>
          <w:color w:val="000000"/>
          <w:sz w:val="24"/>
          <w:szCs w:val="24"/>
        </w:rPr>
      </w:pPr>
      <w:r>
        <w:rPr>
          <w:rFonts w:ascii="Arial" w:hAnsi="Arial" w:eastAsia="仿宋_GB2312" w:cs="Arial"/>
          <w:b/>
          <w:sz w:val="24"/>
          <w:szCs w:val="24"/>
        </w:rPr>
        <w:t>特别提示：</w:t>
      </w:r>
      <w:r>
        <w:rPr>
          <w:rFonts w:hint="eastAsia" w:ascii="Arial" w:hAnsi="Arial" w:eastAsia="仿宋_GB2312" w:cs="Arial"/>
          <w:b/>
          <w:color w:val="000000"/>
          <w:sz w:val="24"/>
          <w:szCs w:val="24"/>
        </w:rPr>
        <w:t>本《风险揭示书》的提示事项仅为列举性质，未能详尽列明风险警示股票交易的所有风险，投资者在参与交易前，应当认真阅读有关法律法规、证券交易所和登记结算机构业务规则等相关规定，对其他可能存在的风险因素也应当有所了解和掌握，并确信自己已做好足够的风险评估与财务安排，避免因参与风险警示股票交易遭受难以承受的损失。</w:t>
      </w:r>
    </w:p>
    <w:p w14:paraId="336B76AF">
      <w:pPr>
        <w:keepNext w:val="0"/>
        <w:keepLines w:val="0"/>
        <w:pageBreakBefore w:val="0"/>
        <w:kinsoku/>
        <w:wordWrap/>
        <w:overflowPunct w:val="0"/>
        <w:topLinePunct w:val="0"/>
        <w:autoSpaceDE/>
        <w:autoSpaceDN/>
        <w:bidi w:val="0"/>
        <w:spacing w:line="400" w:lineRule="exact"/>
        <w:ind w:firstLine="482" w:firstLineChars="200"/>
        <w:textAlignment w:val="auto"/>
        <w:rPr>
          <w:rFonts w:ascii="Arial" w:hAnsi="Arial" w:eastAsia="仿宋_GB2312" w:cs="Arial"/>
          <w:b/>
          <w:color w:val="000000"/>
          <w:sz w:val="24"/>
          <w:szCs w:val="24"/>
        </w:rPr>
      </w:pPr>
      <w:r>
        <w:rPr>
          <w:rFonts w:hint="eastAsia" w:ascii="Arial" w:hAnsi="Arial" w:eastAsia="仿宋_GB2312" w:cs="Arial"/>
          <w:b/>
          <w:color w:val="000000"/>
          <w:sz w:val="24"/>
          <w:szCs w:val="24"/>
        </w:rPr>
        <w:t>签署本人姓名则表示：您</w:t>
      </w:r>
      <w:r>
        <w:rPr>
          <w:rFonts w:ascii="Arial" w:hAnsi="Arial" w:eastAsia="仿宋_GB2312" w:cs="Arial"/>
          <w:b/>
          <w:color w:val="000000"/>
          <w:sz w:val="24"/>
          <w:szCs w:val="24"/>
        </w:rPr>
        <w:t>/本机构已经理解并愿意自行承担参与</w:t>
      </w:r>
      <w:r>
        <w:rPr>
          <w:rFonts w:hint="eastAsia" w:ascii="Arial" w:hAnsi="Arial" w:eastAsia="仿宋_GB2312" w:cs="Arial"/>
          <w:b/>
          <w:color w:val="000000"/>
          <w:sz w:val="24"/>
          <w:szCs w:val="24"/>
        </w:rPr>
        <w:t>风险警示股票</w:t>
      </w:r>
      <w:r>
        <w:rPr>
          <w:rFonts w:ascii="Arial" w:hAnsi="Arial" w:eastAsia="仿宋_GB2312" w:cs="Arial"/>
          <w:b/>
          <w:color w:val="000000"/>
          <w:sz w:val="24"/>
          <w:szCs w:val="24"/>
        </w:rPr>
        <w:t>交易的风险和损失。</w:t>
      </w:r>
    </w:p>
    <w:p w14:paraId="0DBF03C2">
      <w:pPr>
        <w:overflowPunct w:val="0"/>
        <w:spacing w:line="400" w:lineRule="exact"/>
        <w:rPr>
          <w:rFonts w:hint="eastAsia" w:ascii="Arial" w:hAnsi="Arial" w:eastAsia="仿宋_GB2312" w:cs="Arial"/>
          <w:kern w:val="0"/>
          <w:sz w:val="24"/>
          <w:szCs w:val="24"/>
          <w:lang w:bidi="en-US"/>
        </w:rPr>
      </w:pPr>
    </w:p>
    <w:p w14:paraId="18A89F2E">
      <w:pPr>
        <w:overflowPunct w:val="0"/>
        <w:spacing w:line="400" w:lineRule="exact"/>
        <w:rPr>
          <w:rFonts w:ascii="Arial" w:hAnsi="Arial" w:eastAsia="仿宋_GB2312" w:cs="Arial"/>
          <w:kern w:val="0"/>
          <w:sz w:val="24"/>
          <w:szCs w:val="24"/>
          <w:lang w:bidi="en-US"/>
        </w:rPr>
      </w:pPr>
    </w:p>
    <w:p w14:paraId="4BC0A28B">
      <w:pPr>
        <w:overflowPunct w:val="0"/>
        <w:spacing w:line="400" w:lineRule="exact"/>
        <w:rPr>
          <w:rFonts w:ascii="Arial" w:hAnsi="Arial" w:eastAsia="仿宋_GB2312" w:cs="Arial"/>
          <w:kern w:val="0"/>
          <w:sz w:val="24"/>
          <w:szCs w:val="24"/>
          <w:lang w:bidi="en-US"/>
        </w:rPr>
      </w:pPr>
      <w:r>
        <w:rPr>
          <w:rFonts w:ascii="Arial" w:hAnsi="Arial" w:eastAsia="仿宋_GB2312" w:cs="Arial"/>
          <w:kern w:val="0"/>
          <w:sz w:val="24"/>
          <w:szCs w:val="24"/>
          <w:lang w:bidi="en-US"/>
        </w:rPr>
        <w:t>客户（个人签字/机构盖章）：              证券营业机构（盖章）：</w:t>
      </w:r>
    </w:p>
    <w:p w14:paraId="50276580">
      <w:pPr>
        <w:overflowPunct w:val="0"/>
        <w:spacing w:line="400" w:lineRule="exact"/>
        <w:rPr>
          <w:rFonts w:ascii="Arial" w:hAnsi="Arial" w:eastAsia="仿宋_GB2312" w:cs="Arial"/>
          <w:kern w:val="0"/>
          <w:sz w:val="24"/>
          <w:szCs w:val="24"/>
          <w:lang w:bidi="en-US"/>
        </w:rPr>
      </w:pPr>
    </w:p>
    <w:p w14:paraId="4B87BE94">
      <w:pPr>
        <w:overflowPunct w:val="0"/>
        <w:spacing w:line="400" w:lineRule="exact"/>
        <w:rPr>
          <w:rFonts w:ascii="Arial" w:hAnsi="Arial" w:eastAsia="仿宋_GB2312" w:cs="Arial"/>
          <w:kern w:val="0"/>
          <w:sz w:val="24"/>
          <w:szCs w:val="24"/>
          <w:lang w:bidi="en-US"/>
        </w:rPr>
      </w:pPr>
      <w:r>
        <w:rPr>
          <w:rFonts w:ascii="Arial" w:hAnsi="Arial" w:eastAsia="仿宋_GB2312" w:cs="Arial"/>
          <w:kern w:val="0"/>
          <w:sz w:val="24"/>
          <w:szCs w:val="24"/>
          <w:lang w:bidi="en-US"/>
        </w:rPr>
        <w:t>机构经办人：</w:t>
      </w:r>
    </w:p>
    <w:p w14:paraId="5AC6D322">
      <w:pPr>
        <w:overflowPunct w:val="0"/>
        <w:spacing w:line="400" w:lineRule="exact"/>
        <w:rPr>
          <w:rFonts w:ascii="Arial" w:hAnsi="Arial" w:eastAsia="仿宋_GB2312" w:cs="Arial"/>
          <w:kern w:val="0"/>
          <w:sz w:val="24"/>
          <w:szCs w:val="24"/>
          <w:lang w:bidi="en-US"/>
        </w:rPr>
      </w:pPr>
    </w:p>
    <w:p w14:paraId="799608CA">
      <w:pPr>
        <w:spacing w:line="400" w:lineRule="exact"/>
        <w:rPr>
          <w:rFonts w:ascii="Arial" w:hAnsi="Arial" w:eastAsia="仿宋_GB2312" w:cs="Arial"/>
          <w:kern w:val="0"/>
          <w:sz w:val="24"/>
          <w:szCs w:val="24"/>
          <w:lang w:bidi="en-US"/>
        </w:rPr>
      </w:pPr>
      <w:r>
        <w:rPr>
          <w:rFonts w:ascii="Arial" w:hAnsi="Arial" w:eastAsia="仿宋_GB2312" w:cs="Arial"/>
          <w:kern w:val="0"/>
          <w:sz w:val="24"/>
          <w:szCs w:val="24"/>
          <w:lang w:bidi="en-US"/>
        </w:rPr>
        <w:t>签署日期：   年    月   日               签署日期：   年    月   日</w:t>
      </w:r>
    </w:p>
    <w:p w14:paraId="3EE5F4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818A0"/>
    <w:rsid w:val="03C81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2026-07-03T07:49:00Z</dcterms:created>
  <dc:creator>李琛</dc:creator>
  <cp:lastModifiedBy>李琛</cp:lastModifiedBy>
  <dcterms:modified xsi:type="dcterms:W3CDTF">2026-07-03T07:50:03Z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BF04D943CF0E40F78D5FE67152D43DAA_11</vt:lpwstr>
  </property>
  <property fmtid="{D5CDD505-2E9C-101B-9397-08002B2CF9AE}" pid="4" name="KSOTemplateDocerSaveRecord">
    <vt:lpwstr>eyJoZGlkIjoiMWE4M2E5NTUxMmRhYmEyNmQxMTQ4N2U1MzdkNjBjYTEiLCJ1c2VySWQiOiIyMTA3NjM2MjcifQ==</vt:lpwstr>
  </property>
</Properties>
</file>