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958A3">
      <w:pPr>
        <w:overflowPunct w:val="0"/>
        <w:spacing w:line="400" w:lineRule="exact"/>
        <w:jc w:val="center"/>
        <w:rPr>
          <w:rFonts w:hint="eastAsia" w:ascii="Arial" w:hAnsi="Arial" w:cs="Arial"/>
          <w:b/>
          <w:color w:val="000000"/>
          <w:kern w:val="0"/>
          <w:sz w:val="36"/>
          <w:szCs w:val="36"/>
          <w:lang w:bidi="en-US"/>
        </w:rPr>
      </w:pPr>
    </w:p>
    <w:p w14:paraId="07D5336F">
      <w:pPr>
        <w:overflowPunct w:val="0"/>
        <w:spacing w:line="400" w:lineRule="exact"/>
        <w:jc w:val="center"/>
        <w:rPr>
          <w:rFonts w:hint="eastAsia" w:ascii="Arial" w:hAnsi="Arial" w:cs="Arial"/>
          <w:b/>
          <w:color w:val="000000"/>
          <w:kern w:val="0"/>
          <w:sz w:val="36"/>
          <w:szCs w:val="36"/>
          <w:lang w:bidi="en-US"/>
        </w:rPr>
      </w:pPr>
      <w:r>
        <w:rPr>
          <w:rFonts w:hint="eastAsia" w:ascii="Arial" w:hAnsi="Arial" w:cs="Arial"/>
          <w:b/>
          <w:color w:val="000000"/>
          <w:kern w:val="0"/>
          <w:sz w:val="36"/>
          <w:szCs w:val="36"/>
          <w:lang w:bidi="en-US"/>
        </w:rPr>
        <w:t>大同证券有限责任公司</w:t>
      </w:r>
    </w:p>
    <w:p w14:paraId="75F407CE">
      <w:pPr>
        <w:overflowPunct w:val="0"/>
        <w:spacing w:line="400" w:lineRule="exact"/>
        <w:jc w:val="center"/>
        <w:rPr>
          <w:rFonts w:ascii="Arial" w:hAnsi="Arial" w:cs="Arial"/>
          <w:b/>
          <w:color w:val="000000"/>
          <w:kern w:val="0"/>
          <w:sz w:val="36"/>
          <w:szCs w:val="36"/>
          <w:lang w:bidi="en-US"/>
        </w:rPr>
      </w:pPr>
      <w:r>
        <w:rPr>
          <w:rFonts w:ascii="Arial" w:hAnsi="Arial" w:cs="Arial"/>
          <w:b/>
          <w:color w:val="000000"/>
          <w:kern w:val="0"/>
          <w:sz w:val="36"/>
          <w:szCs w:val="36"/>
          <w:lang w:bidi="en-US"/>
        </w:rPr>
        <w:t>科创板股票</w:t>
      </w:r>
      <w:r>
        <w:rPr>
          <w:rFonts w:hint="eastAsia" w:ascii="Arial" w:hAnsi="Arial" w:cs="Arial"/>
          <w:b/>
          <w:color w:val="000000"/>
          <w:kern w:val="0"/>
          <w:sz w:val="36"/>
          <w:szCs w:val="36"/>
          <w:lang w:bidi="en-US"/>
        </w:rPr>
        <w:t>融资融券</w:t>
      </w:r>
      <w:r>
        <w:rPr>
          <w:rFonts w:ascii="Arial" w:hAnsi="Arial" w:cs="Arial"/>
          <w:b/>
          <w:color w:val="000000"/>
          <w:kern w:val="0"/>
          <w:sz w:val="36"/>
          <w:szCs w:val="36"/>
          <w:lang w:bidi="en-US"/>
        </w:rPr>
        <w:t>交易风险揭示书</w:t>
      </w:r>
    </w:p>
    <w:p w14:paraId="790295DC">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p>
    <w:p w14:paraId="29B124A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hint="eastAsia"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尊敬的投资者：</w:t>
      </w:r>
    </w:p>
    <w:p w14:paraId="137A458F">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hint="eastAsia"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为了使您充分了解上海证券交易所（以下简称“上交所”） 科</w:t>
      </w:r>
      <w:r>
        <w:rPr>
          <w:rFonts w:hint="eastAsia" w:ascii="Arial" w:hAnsi="Arial" w:eastAsia="仿宋_GB2312" w:cs="Arial"/>
          <w:color w:val="000000"/>
          <w:kern w:val="0"/>
          <w:sz w:val="24"/>
          <w:szCs w:val="24"/>
          <w:lang w:bidi="en-US"/>
        </w:rPr>
        <w:t>创板股票或存托凭证（以下统称“科创板股票”）交易（含发行申购）的相关风险，根据有关法律、法规、规章和规则的规定，本公司特向您进行风险揭示，您应当根据自身财务状况、实际需求、风险识别和承受能力等因素，审慎决定是否参与科创板股票融资融券交易。</w:t>
      </w:r>
    </w:p>
    <w:p w14:paraId="4E8329CE">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hint="eastAsia"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如您决定参与科创板股票融资融券交易，请务必认真阅读相关业务规则</w:t>
      </w:r>
      <w:r>
        <w:rPr>
          <w:rFonts w:hint="eastAsia" w:ascii="Arial" w:hAnsi="Arial" w:eastAsia="仿宋_GB2312" w:cs="Arial"/>
          <w:color w:val="000000"/>
          <w:kern w:val="0"/>
          <w:sz w:val="24"/>
          <w:szCs w:val="24"/>
          <w:lang w:bidi="en-US"/>
        </w:rPr>
        <w:t xml:space="preserve">和阅读风险揭示书内容，并签字确认。 </w:t>
      </w:r>
    </w:p>
    <w:p w14:paraId="5F7F5328">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hint="eastAsia"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一、科创板企业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14:paraId="09704AFD">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二、科创板企业可能存在首次公开发行前最近</w:t>
      </w:r>
      <w:r>
        <w:rPr>
          <w:rFonts w:ascii="Arial" w:hAnsi="Arial" w:eastAsia="仿宋_GB2312" w:cs="Arial"/>
          <w:color w:val="000000"/>
          <w:kern w:val="0"/>
          <w:sz w:val="24"/>
          <w:szCs w:val="24"/>
          <w:lang w:bidi="en-US"/>
        </w:rPr>
        <w:t>3个会计年度未能连续盈利、公开发行并上市时尚未盈利、有累计未弥补亏损等情形，可能存在上市后仍无法盈利、持续亏损、无法进行利润分配等情形。</w:t>
      </w:r>
    </w:p>
    <w:p w14:paraId="5260C014">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三、科创板新股发行价格、规模、节奏等坚持市场化导向，可能采用直接定价或者询价定价方式发行。采用询价定价方式的，询价对象限定在证券公司等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1D11C825">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四、科创板新股发行采用询价方式的，初步询价结束后，科创板发行人预计发行后总市值不满足其在招股说明书中明确选择的市值与财务指标上市标准的，将按规定中止发行。</w:t>
      </w:r>
    </w:p>
    <w:p w14:paraId="2D49E32C">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五、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w:t>
      </w:r>
      <w:r>
        <w:rPr>
          <w:rFonts w:ascii="Arial" w:hAnsi="Arial" w:eastAsia="仿宋_GB2312" w:cs="Arial"/>
          <w:color w:val="000000"/>
          <w:kern w:val="0"/>
          <w:sz w:val="24"/>
          <w:szCs w:val="24"/>
          <w:lang w:bidi="en-US"/>
        </w:rPr>
        <w:t xml:space="preserve"> </w:t>
      </w:r>
    </w:p>
    <w:p w14:paraId="2B0EB0F7">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六、首次公开发行股票时，发行人和主承销商可以采用超额配售选择权，即存在发行人增发股票的可能性。</w:t>
      </w:r>
    </w:p>
    <w:p w14:paraId="14E52824">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七、</w:t>
      </w:r>
      <w:r>
        <w:rPr>
          <w:rFonts w:ascii="Arial" w:hAnsi="Arial" w:eastAsia="仿宋_GB2312" w:cs="Arial"/>
          <w:color w:val="000000"/>
          <w:kern w:val="0"/>
          <w:sz w:val="24"/>
          <w:szCs w:val="24"/>
          <w:lang w:bidi="en-US"/>
        </w:rPr>
        <w:t>科创板股票可能主动终止上市，也可能因触及退市情形被终止上市。被实施退市风险警示或其他风险警示的科创板股票，存在投资者当日通过竞价交易、大宗交易和盘后固定价格交易累计买入的单只股票数量不超过50万股的限制。主动终止上市或因触及交易类情形被终止上市的，不进入退市整理期，直接予以摘牌；因触及重大违法类、财务类或者规范类情形被终止上市的，进入退市整理期交易15个交易日后予以摘牌。投资者应当充分了解相关规定，密切关注退市风险。</w:t>
      </w:r>
    </w:p>
    <w:p w14:paraId="661D9E32">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八、科创板制度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49217D4E">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九、出现《上海证券交易所科创板股票上市规则》以及上市公司章程规定的情形时，特别表决权股份将按</w:t>
      </w:r>
      <w:r>
        <w:rPr>
          <w:rFonts w:ascii="Arial" w:hAnsi="Arial" w:eastAsia="仿宋_GB2312" w:cs="Arial"/>
          <w:color w:val="000000"/>
          <w:kern w:val="0"/>
          <w:sz w:val="24"/>
          <w:szCs w:val="24"/>
          <w:lang w:bidi="en-US"/>
        </w:rPr>
        <w:t>1:1的比例转换为普通股份。股份转换自相关情形发生时即生效，并可能与相关股份转换登记时点存在差异。投资者需及时关注上市公司相关公告，以了解特别表决权股份变动事宜。</w:t>
      </w:r>
    </w:p>
    <w:p w14:paraId="27A12391">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35A4271C">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十一、科创板股票竞价交易的价格涨跌幅限制比例为</w:t>
      </w:r>
      <w:r>
        <w:rPr>
          <w:rFonts w:ascii="Arial" w:hAnsi="Arial" w:eastAsia="仿宋_GB2312" w:cs="Arial"/>
          <w:color w:val="000000"/>
          <w:kern w:val="0"/>
          <w:sz w:val="24"/>
          <w:szCs w:val="24"/>
          <w:lang w:bidi="en-US"/>
        </w:rPr>
        <w:t>20%，但在首次公开发行上市后的前5个交易日、进入退市整理期的首日以及上交所认定的其他情形下不实行涨跌幅限制，投资者应当关注可能产生的股价波动的风险。</w:t>
      </w:r>
    </w:p>
    <w:p w14:paraId="29640EF2">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十二、科创板无价格涨跌幅限制股票竞价交易盘中交易价格较当日开盘价格首次上涨或下跌达到或超过</w:t>
      </w:r>
      <w:r>
        <w:rPr>
          <w:rFonts w:ascii="Arial" w:hAnsi="Arial" w:eastAsia="仿宋_GB2312" w:cs="Arial"/>
          <w:color w:val="000000"/>
          <w:kern w:val="0"/>
          <w:sz w:val="24"/>
          <w:szCs w:val="24"/>
          <w:lang w:bidi="en-US"/>
        </w:rPr>
        <w:t>30%、60%，以及出现证监会或者上交所认定的其他情形的，实施盘中临时停牌机制，单次临时停牌时间为10分钟，停牌时间跨越14:57的，于当日14:57复牌，并对已接受的申报进行复牌集合竞价，再进行收盘集合竞价。</w:t>
      </w:r>
    </w:p>
    <w:p w14:paraId="323705B2">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十三、科创板股票交易可以实行做市商机制，做市商可以为科创板股票提供双边报价服务，请投资者及时关注相关事项。</w:t>
      </w:r>
    </w:p>
    <w:p w14:paraId="5C316D93">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十四、投资者需关注科创板股票交易的单笔申报数量、有效申报价格范围等与上交所主板市场股票交易存在差异，避免产生无效申报。</w:t>
      </w:r>
    </w:p>
    <w:p w14:paraId="6D77B5F2">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十五、</w:t>
      </w:r>
      <w:r>
        <w:rPr>
          <w:rFonts w:ascii="Arial" w:hAnsi="Arial" w:eastAsia="仿宋_GB2312" w:cs="Arial"/>
          <w:color w:val="000000"/>
          <w:kern w:val="0"/>
          <w:sz w:val="24"/>
          <w:szCs w:val="24"/>
          <w:lang w:bidi="en-US"/>
        </w:rPr>
        <w:t>投资者需关注科创板股票交易方式包括竞价交易、盘后固定价格交易及大宗交易，不同交易方式的交易时间、申报要求、成交原则等存在差异。科创板股票大宗交易成交申报确认时间与上交所主板股票存在差异，投资者应当关注。</w:t>
      </w:r>
    </w:p>
    <w:p w14:paraId="3A8E0431">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十六、科创板股票上市首日即可作为融资融券标的，是否纳入融资融券标的请关注我公司官网公告（w</w:t>
      </w:r>
      <w:r>
        <w:rPr>
          <w:rFonts w:ascii="Arial" w:hAnsi="Arial" w:eastAsia="仿宋_GB2312" w:cs="Arial"/>
          <w:color w:val="000000"/>
          <w:kern w:val="0"/>
          <w:sz w:val="24"/>
          <w:szCs w:val="24"/>
          <w:lang w:bidi="en-US"/>
        </w:rPr>
        <w:t>ww.dtsbc.com.cn</w:t>
      </w:r>
      <w:r>
        <w:rPr>
          <w:rFonts w:hint="eastAsia" w:ascii="Arial" w:hAnsi="Arial" w:eastAsia="仿宋_GB2312" w:cs="Arial"/>
          <w:color w:val="000000"/>
          <w:kern w:val="0"/>
          <w:sz w:val="24"/>
          <w:szCs w:val="24"/>
          <w:lang w:bidi="en-US"/>
        </w:rPr>
        <w:t>），投资者应注意相关风险。</w:t>
      </w:r>
    </w:p>
    <w:p w14:paraId="3744161D">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十七、科创板股票的交易公开信息披露指标及异常波动情形、严重异常波动情形披露指标与上交所主板市场规定不同，投资者应当关注与此相关的风险。</w:t>
      </w:r>
    </w:p>
    <w:p w14:paraId="5CB2EEB0">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八、符合相关规定的红筹企业可以在科创板上市。红筹企业在境外注册，可能采用协议控制架构，在上市标准、信息披露、分红派息、退市标准等方面可能与境内上市公司存在差异。红筹企业注册地、境外上市地等地法律法规对当地投资者提供的保护</w:t>
      </w:r>
      <w:r>
        <w:rPr>
          <w:rFonts w:ascii="Arial" w:hAnsi="Arial" w:eastAsia="仿宋_GB2312" w:cs="Arial"/>
          <w:color w:val="000000"/>
          <w:kern w:val="0"/>
          <w:sz w:val="24"/>
          <w:szCs w:val="24"/>
          <w:lang w:bidi="en-US"/>
        </w:rPr>
        <w:t>,可能与境内法律为境内投资者提供的保护存在差异。</w:t>
      </w:r>
    </w:p>
    <w:p w14:paraId="01B0E3C9">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ascii="Arial" w:hAnsi="Arial" w:eastAsia="仿宋_GB2312" w:cs="Arial"/>
          <w:color w:val="000000"/>
          <w:kern w:val="0"/>
          <w:sz w:val="24"/>
          <w:szCs w:val="24"/>
          <w:lang w:bidi="en-US"/>
        </w:rPr>
        <w:t>十九、红筹企业可以发行股票或存托凭证在科创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关注交易和持有红筹企业股票或存托凭证过程中可能存在的风险。</w:t>
      </w:r>
    </w:p>
    <w:p w14:paraId="544C908C">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二十、投资者的信用证券账户持有科创板证券，该证券特殊发行、定价及交易机制引致的价格波动风险与融资融券交易的杠杆效应叠加后，容易导致投资者的信用账户维持担保比例降低至最低追保线、平仓线、盘中紧急平仓线以下，进而导致被本公司通知要求追加担保物，甚至被采取强制平仓等违约处置措施的风险，可能会给投资者造成经济损失。</w:t>
      </w:r>
    </w:p>
    <w:p w14:paraId="5EB83129">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为防范科创板证券价格波动较大的风险，本公司有权针对科创板设置更加严格的融资融券标的证券范围、可充抵保证金证券范围及折算率、保证金比例、</w:t>
      </w:r>
      <w:r>
        <w:rPr>
          <w:rFonts w:ascii="Arial" w:hAnsi="Arial" w:eastAsia="仿宋_GB2312" w:cs="Arial"/>
          <w:color w:val="000000"/>
          <w:kern w:val="0"/>
          <w:sz w:val="24"/>
          <w:szCs w:val="24"/>
          <w:lang w:bidi="en-US"/>
        </w:rPr>
        <w:t>维持担保比例</w:t>
      </w:r>
      <w:r>
        <w:rPr>
          <w:rFonts w:hint="eastAsia" w:ascii="Arial" w:hAnsi="Arial" w:eastAsia="仿宋_GB2312" w:cs="Arial"/>
          <w:color w:val="000000"/>
          <w:kern w:val="0"/>
          <w:sz w:val="24"/>
          <w:szCs w:val="24"/>
          <w:lang w:bidi="en-US"/>
        </w:rPr>
        <w:t>、证券集中度、</w:t>
      </w:r>
      <w:r>
        <w:rPr>
          <w:rFonts w:ascii="Arial" w:hAnsi="Arial" w:eastAsia="仿宋_GB2312" w:cs="Arial"/>
          <w:color w:val="000000"/>
          <w:kern w:val="0"/>
          <w:sz w:val="24"/>
          <w:szCs w:val="24"/>
          <w:lang w:bidi="en-US"/>
        </w:rPr>
        <w:t>提取担保物</w:t>
      </w:r>
      <w:r>
        <w:rPr>
          <w:rFonts w:hint="eastAsia" w:ascii="Arial" w:hAnsi="Arial" w:eastAsia="仿宋_GB2312" w:cs="Arial"/>
          <w:color w:val="000000"/>
          <w:kern w:val="0"/>
          <w:sz w:val="24"/>
          <w:szCs w:val="24"/>
          <w:lang w:bidi="en-US"/>
        </w:rPr>
        <w:t>的风险控制</w:t>
      </w:r>
      <w:r>
        <w:rPr>
          <w:rFonts w:ascii="Arial" w:hAnsi="Arial" w:eastAsia="仿宋_GB2312" w:cs="Arial"/>
          <w:color w:val="000000"/>
          <w:kern w:val="0"/>
          <w:sz w:val="24"/>
          <w:szCs w:val="24"/>
          <w:lang w:bidi="en-US"/>
        </w:rPr>
        <w:t>等风险阈值</w:t>
      </w:r>
      <w:r>
        <w:rPr>
          <w:rFonts w:hint="eastAsia" w:ascii="Arial" w:hAnsi="Arial" w:eastAsia="仿宋_GB2312" w:cs="Arial"/>
          <w:color w:val="000000"/>
          <w:kern w:val="0"/>
          <w:sz w:val="24"/>
          <w:szCs w:val="24"/>
          <w:lang w:bidi="en-US"/>
        </w:rPr>
        <w:t>，上述措施可能影响您</w:t>
      </w:r>
      <w:r>
        <w:rPr>
          <w:rFonts w:ascii="Arial" w:hAnsi="Arial" w:eastAsia="仿宋_GB2312" w:cs="Arial"/>
          <w:b/>
          <w:bCs/>
          <w:color w:val="000000"/>
          <w:kern w:val="0"/>
          <w:sz w:val="24"/>
          <w:szCs w:val="24"/>
          <w:lang w:bidi="en-US"/>
        </w:rPr>
        <w:t>合约展期</w:t>
      </w:r>
      <w:r>
        <w:rPr>
          <w:rFonts w:hint="eastAsia" w:ascii="Arial" w:hAnsi="Arial" w:eastAsia="仿宋_GB2312" w:cs="Arial"/>
          <w:b/>
          <w:bCs/>
          <w:color w:val="000000"/>
          <w:kern w:val="0"/>
          <w:sz w:val="24"/>
          <w:szCs w:val="24"/>
          <w:lang w:bidi="en-US"/>
        </w:rPr>
        <w:t>、担保品买入、转入及转出、可融资、</w:t>
      </w:r>
      <w:r>
        <w:rPr>
          <w:rFonts w:ascii="Arial" w:hAnsi="Arial" w:eastAsia="仿宋_GB2312" w:cs="Arial"/>
          <w:b/>
          <w:bCs/>
          <w:color w:val="000000"/>
          <w:kern w:val="0"/>
          <w:sz w:val="24"/>
          <w:szCs w:val="24"/>
          <w:lang w:bidi="en-US"/>
        </w:rPr>
        <w:t>可融券的品种</w:t>
      </w:r>
      <w:r>
        <w:rPr>
          <w:rFonts w:hint="eastAsia" w:ascii="Arial" w:hAnsi="Arial" w:eastAsia="仿宋_GB2312" w:cs="Arial"/>
          <w:b/>
          <w:bCs/>
          <w:color w:val="000000"/>
          <w:kern w:val="0"/>
          <w:sz w:val="24"/>
          <w:szCs w:val="24"/>
          <w:lang w:bidi="en-US"/>
        </w:rPr>
        <w:t>和</w:t>
      </w:r>
      <w:r>
        <w:rPr>
          <w:rFonts w:ascii="Arial" w:hAnsi="Arial" w:eastAsia="仿宋_GB2312" w:cs="Arial"/>
          <w:b/>
          <w:bCs/>
          <w:color w:val="000000"/>
          <w:kern w:val="0"/>
          <w:sz w:val="24"/>
          <w:szCs w:val="24"/>
          <w:lang w:bidi="en-US"/>
        </w:rPr>
        <w:t>数量</w:t>
      </w:r>
      <w:r>
        <w:rPr>
          <w:rFonts w:ascii="Arial" w:hAnsi="Arial" w:eastAsia="仿宋_GB2312" w:cs="Arial"/>
          <w:color w:val="000000"/>
          <w:kern w:val="0"/>
          <w:sz w:val="24"/>
          <w:szCs w:val="24"/>
          <w:lang w:bidi="en-US"/>
        </w:rPr>
        <w:t>等，造</w:t>
      </w:r>
      <w:r>
        <w:rPr>
          <w:rFonts w:hint="eastAsia" w:ascii="Arial" w:hAnsi="Arial" w:eastAsia="仿宋_GB2312" w:cs="Arial"/>
          <w:color w:val="000000"/>
          <w:kern w:val="0"/>
          <w:sz w:val="24"/>
          <w:szCs w:val="24"/>
          <w:lang w:bidi="en-US"/>
        </w:rPr>
        <w:t>成的损失由您自行承担。</w:t>
      </w:r>
    </w:p>
    <w:p w14:paraId="71F28AF1">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hint="eastAsia"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本公司有权根据外部监管规定、市场情况以及内部风险管理需要等一种或多种因素，动态调整与科创板股票融资融券交易相关的风险控制措施、风险阀值等，可能对投资者的交易决策等造成一定影响，相关调整会通过《大同证券有限责任公司融资融券业务合同》约定的方式进行通知，投资者应随时关注本公司公告或通知，并自行决定是否采取措施以避免产生不利后果。</w:t>
      </w:r>
    </w:p>
    <w:p w14:paraId="0BEC675D">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本公司有权因您信用账户内担保证券所属科创板上市公司已被或可能被退市而采取将该股票调出可充抵保证金证券范围、将其公允价格调整为零或要求您提前归还负债等措施，可能造成的损失由您自行承担。</w:t>
      </w:r>
    </w:p>
    <w:p w14:paraId="6E36BE5A">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特别提请您注意，本公司还有权针对科创板执行差异化的公允价格估值标准，公允价格可以为零。对于设置公允价格的证券，计算维持担保比例及保证金可用余额时，该证券的担保证券市值按公允价格计算。当公允价格为零或远低于市价时，可能使您信用账户维持担保比例在短时间内急剧下降，出现维持担保比例低于</w:t>
      </w:r>
      <w:bookmarkStart w:id="0" w:name="_Hlk128146801"/>
      <w:r>
        <w:rPr>
          <w:rFonts w:hint="eastAsia" w:ascii="Arial" w:hAnsi="Arial" w:eastAsia="仿宋_GB2312" w:cs="Arial"/>
          <w:color w:val="000000"/>
          <w:kern w:val="0"/>
          <w:sz w:val="24"/>
          <w:szCs w:val="24"/>
          <w:lang w:bidi="en-US"/>
        </w:rPr>
        <w:t>最低追保线、平仓线、盘中紧急平仓线</w:t>
      </w:r>
      <w:bookmarkEnd w:id="0"/>
      <w:r>
        <w:rPr>
          <w:rFonts w:hint="eastAsia" w:ascii="Arial" w:hAnsi="Arial" w:eastAsia="仿宋_GB2312" w:cs="Arial"/>
          <w:color w:val="000000"/>
          <w:kern w:val="0"/>
          <w:sz w:val="24"/>
          <w:szCs w:val="24"/>
          <w:lang w:bidi="en-US"/>
        </w:rPr>
        <w:t>、甚至强制平仓的情形，造成的损失由您自行承担。</w:t>
      </w:r>
    </w:p>
    <w:p w14:paraId="09A95926">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0" w:firstLineChars="200"/>
        <w:textAlignment w:val="auto"/>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二十一、科创板股票相关法律、行政法规、部门规章、规范性文件（以下简称“法律法规”）和交易所业务规则，可能根据市场情况进行修改，或者制定新的法律法规和业务规则，投资者应当及时予以关注和了解。</w:t>
      </w:r>
    </w:p>
    <w:p w14:paraId="25528272">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2" w:firstLineChars="200"/>
        <w:textAlignment w:val="auto"/>
        <w:rPr>
          <w:rFonts w:hint="eastAsia" w:ascii="Arial" w:hAnsi="Arial" w:eastAsia="仿宋_GB2312" w:cs="Arial"/>
          <w:b/>
          <w:color w:val="000000"/>
          <w:kern w:val="0"/>
          <w:sz w:val="24"/>
          <w:szCs w:val="24"/>
          <w:lang w:bidi="en-US"/>
        </w:rPr>
      </w:pPr>
      <w:r>
        <w:rPr>
          <w:rFonts w:hint="eastAsia" w:ascii="Arial" w:hAnsi="Arial" w:eastAsia="仿宋_GB2312" w:cs="Arial"/>
          <w:b/>
          <w:color w:val="000000"/>
          <w:kern w:val="0"/>
          <w:sz w:val="24"/>
          <w:szCs w:val="24"/>
          <w:lang w:bidi="en-US"/>
        </w:rPr>
        <w:t>本《风险揭示书》的揭示事项仅为列举性质，未能详尽列明科创板股票融资融券交易的所有风险，您在参与科创板股票融资融券交易前，应当认真阅读</w:t>
      </w:r>
      <w:r>
        <w:rPr>
          <w:rFonts w:hint="eastAsia" w:ascii="Arial" w:hAnsi="Arial" w:eastAsia="仿宋_GB2312" w:cs="Arial"/>
          <w:b/>
          <w:bCs/>
          <w:color w:val="000000"/>
          <w:kern w:val="0"/>
          <w:sz w:val="24"/>
          <w:szCs w:val="24"/>
          <w:lang w:bidi="en-US"/>
        </w:rPr>
        <w:t>您已签署的《大同证券有限责任公司融资融券业务合同》、《大同证券有限责任公司融资融券交易风险揭示书》的所有条款以及</w:t>
      </w:r>
      <w:r>
        <w:rPr>
          <w:rFonts w:hint="eastAsia" w:ascii="Arial" w:hAnsi="Arial" w:eastAsia="仿宋_GB2312" w:cs="Arial"/>
          <w:b/>
          <w:color w:val="000000"/>
          <w:kern w:val="0"/>
          <w:sz w:val="24"/>
          <w:szCs w:val="24"/>
          <w:lang w:bidi="en-US"/>
        </w:rPr>
        <w:t>有关法律法规和交易所业务规则等相关规定，对其他可能存在的风险因素也应当有所了解和掌握，并确信自己已做好足够的风险评估与财务安排，避免因参与科创板股票融资融券交易遭受难以承受的损失。</w:t>
      </w:r>
    </w:p>
    <w:p w14:paraId="2B2594E0">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2" w:firstLineChars="200"/>
        <w:textAlignment w:val="auto"/>
        <w:rPr>
          <w:rFonts w:hint="eastAsia" w:ascii="Arial" w:hAnsi="Arial" w:eastAsia="仿宋_GB2312" w:cs="Arial"/>
          <w:b/>
          <w:color w:val="FF0000"/>
          <w:kern w:val="0"/>
          <w:sz w:val="24"/>
          <w:szCs w:val="24"/>
          <w:lang w:bidi="en-US"/>
        </w:rPr>
      </w:pPr>
      <w:bookmarkStart w:id="1" w:name="OLE_LINK15"/>
      <w:r>
        <w:rPr>
          <w:rFonts w:hint="eastAsia" w:ascii="Arial" w:hAnsi="Arial" w:eastAsia="仿宋_GB2312" w:cs="Arial"/>
          <w:b/>
          <w:kern w:val="0"/>
          <w:sz w:val="24"/>
          <w:szCs w:val="24"/>
          <w:lang w:bidi="en-US"/>
        </w:rPr>
        <w:t>根据科创板投资者适当性要求，投资者向本公司提供的相关信息应当真实、准确、完整，如投资者所提供的信息发生重要变化、可能影响本公司对您的投资者分类及适当性匹配的，应当及时告知本公司，如投资者提供信息不真实、不准确、不完整以及信息发生变化未及时告知本公司等情况的，本公司有权拒绝向投资者提供服务，由此产生的一切责任及后果，均由投资者自行承担。本公司发现投资者的实际情况已经不符合投资者适当性管理要求的，其信用状况和风险承受能力不适合参与科创板股票融资融券交易、或频繁发生异常交易行为或发生严重异常交易行为的，以及经核查您的资金来源、资金性质、在规定时间内的账户资产分布存在异常情况的，本公司可以对您交易采取相应的限制措施。</w:t>
      </w:r>
    </w:p>
    <w:bookmarkEnd w:id="1"/>
    <w:p w14:paraId="00D7D025">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482" w:firstLineChars="200"/>
        <w:textAlignment w:val="auto"/>
        <w:rPr>
          <w:rFonts w:ascii="Arial" w:hAnsi="Arial" w:eastAsia="仿宋_GB2312" w:cs="Arial"/>
          <w:b/>
          <w:color w:val="000000"/>
          <w:kern w:val="0"/>
          <w:sz w:val="24"/>
          <w:szCs w:val="24"/>
          <w:lang w:bidi="en-US"/>
        </w:rPr>
      </w:pPr>
      <w:r>
        <w:rPr>
          <w:rFonts w:ascii="Arial" w:hAnsi="Arial" w:eastAsia="仿宋_GB2312" w:cs="Arial"/>
          <w:b/>
          <w:color w:val="000000"/>
          <w:kern w:val="0"/>
          <w:sz w:val="24"/>
          <w:szCs w:val="24"/>
          <w:lang w:bidi="en-US"/>
        </w:rPr>
        <w:t>如您/贵机构已清楚明白以上风险揭示内容，请您/贵机构在本《风险揭示书》上抄写以下黑体字内容并签字确认，</w:t>
      </w:r>
      <w:r>
        <w:rPr>
          <w:rFonts w:hint="eastAsia" w:ascii="Arial" w:hAnsi="Arial" w:eastAsia="仿宋_GB2312" w:cs="Arial"/>
          <w:b/>
          <w:color w:val="000000"/>
          <w:kern w:val="0"/>
          <w:sz w:val="24"/>
          <w:szCs w:val="24"/>
          <w:lang w:bidi="en-US"/>
        </w:rPr>
        <w:t>即表明您已经理解并愿意自行承担参与科创板股票融资融券交易的风险和损失</w:t>
      </w:r>
      <w:r>
        <w:rPr>
          <w:rFonts w:ascii="Arial" w:hAnsi="Arial" w:eastAsia="仿宋_GB2312" w:cs="Arial"/>
          <w:b/>
          <w:color w:val="000000"/>
          <w:kern w:val="0"/>
          <w:sz w:val="24"/>
          <w:szCs w:val="24"/>
          <w:lang w:bidi="en-US"/>
        </w:rPr>
        <w:t>。</w:t>
      </w:r>
    </w:p>
    <w:p w14:paraId="186301BD">
      <w:pPr>
        <w:overflowPunct w:val="0"/>
        <w:autoSpaceDE w:val="0"/>
        <w:autoSpaceDN w:val="0"/>
        <w:adjustRightInd w:val="0"/>
        <w:snapToGrid w:val="0"/>
        <w:spacing w:line="400" w:lineRule="exact"/>
        <w:ind w:firstLine="482" w:firstLineChars="200"/>
        <w:rPr>
          <w:rFonts w:ascii="Arial" w:hAnsi="Arial" w:eastAsia="仿宋_GB2312" w:cs="Arial"/>
          <w:b/>
          <w:color w:val="000000"/>
          <w:kern w:val="0"/>
          <w:sz w:val="24"/>
          <w:szCs w:val="24"/>
          <w:lang w:bidi="en-US"/>
        </w:rPr>
      </w:pPr>
    </w:p>
    <w:p w14:paraId="71E3F5E2">
      <w:pPr>
        <w:overflowPunct w:val="0"/>
        <w:autoSpaceDE w:val="0"/>
        <w:autoSpaceDN w:val="0"/>
        <w:adjustRightInd w:val="0"/>
        <w:snapToGrid w:val="0"/>
        <w:spacing w:line="400" w:lineRule="exact"/>
        <w:ind w:firstLine="482" w:firstLineChars="200"/>
        <w:rPr>
          <w:rFonts w:ascii="Arial" w:hAnsi="Arial" w:eastAsia="仿宋_GB2312" w:cs="Arial"/>
          <w:b/>
          <w:color w:val="000000"/>
          <w:kern w:val="0"/>
          <w:sz w:val="24"/>
          <w:szCs w:val="24"/>
          <w:lang w:bidi="en-US"/>
        </w:rPr>
      </w:pPr>
    </w:p>
    <w:p w14:paraId="0D6FC429">
      <w:pPr>
        <w:overflowPunct w:val="0"/>
        <w:autoSpaceDE w:val="0"/>
        <w:autoSpaceDN w:val="0"/>
        <w:adjustRightInd w:val="0"/>
        <w:snapToGrid w:val="0"/>
        <w:spacing w:line="400" w:lineRule="exact"/>
        <w:ind w:firstLine="482" w:firstLineChars="200"/>
        <w:rPr>
          <w:rFonts w:ascii="Arial" w:hAnsi="Arial" w:eastAsia="仿宋_GB2312" w:cs="Arial"/>
          <w:b/>
          <w:color w:val="000000"/>
          <w:kern w:val="0"/>
          <w:sz w:val="24"/>
          <w:szCs w:val="24"/>
          <w:lang w:bidi="en-US"/>
        </w:rPr>
      </w:pPr>
    </w:p>
    <w:p w14:paraId="228F9AA7">
      <w:pPr>
        <w:overflowPunct w:val="0"/>
        <w:autoSpaceDE w:val="0"/>
        <w:autoSpaceDN w:val="0"/>
        <w:adjustRightInd w:val="0"/>
        <w:snapToGrid w:val="0"/>
        <w:spacing w:line="400" w:lineRule="exact"/>
        <w:rPr>
          <w:rFonts w:ascii="Arial" w:hAnsi="Arial" w:eastAsia="仿宋_GB2312" w:cs="Arial"/>
          <w:b/>
          <w:color w:val="000000"/>
          <w:kern w:val="0"/>
          <w:sz w:val="24"/>
          <w:szCs w:val="24"/>
          <w:lang w:bidi="en-US"/>
        </w:rPr>
      </w:pPr>
      <w:bookmarkStart w:id="2" w:name="_GoBack"/>
      <w:bookmarkEnd w:id="2"/>
    </w:p>
    <w:p w14:paraId="77575864">
      <w:pPr>
        <w:overflowPunct w:val="0"/>
        <w:autoSpaceDE w:val="0"/>
        <w:autoSpaceDN w:val="0"/>
        <w:adjustRightInd w:val="0"/>
        <w:snapToGrid w:val="0"/>
        <w:spacing w:line="400" w:lineRule="exact"/>
        <w:ind w:firstLine="562" w:firstLineChars="200"/>
        <w:rPr>
          <w:rFonts w:hint="eastAsia" w:ascii="Arial" w:hAnsi="Arial" w:eastAsia="仿宋_GB2312"/>
          <w:lang w:bidi="en-US"/>
        </w:rPr>
      </w:pPr>
      <w:r>
        <w:rPr>
          <w:rFonts w:ascii="Arial" w:hAnsi="Arial" w:eastAsia="仿宋_GB2312" w:cs="Arial"/>
          <w:b/>
          <w:color w:val="000000"/>
          <w:kern w:val="0"/>
          <w:sz w:val="28"/>
          <w:szCs w:val="28"/>
          <w:lang w:bidi="en-US"/>
        </w:rPr>
        <w:t>本人/机构已阅读并完全理解以上《</w:t>
      </w:r>
      <w:r>
        <w:rPr>
          <w:rFonts w:hint="eastAsia" w:ascii="Arial" w:hAnsi="Arial" w:eastAsia="仿宋_GB2312" w:cs="Arial"/>
          <w:b/>
          <w:color w:val="000000"/>
          <w:kern w:val="0"/>
          <w:sz w:val="28"/>
          <w:szCs w:val="28"/>
          <w:lang w:bidi="en-US"/>
        </w:rPr>
        <w:t>大同证券有限责任公司科创板股票融资融券交易风险揭示书</w:t>
      </w:r>
      <w:r>
        <w:rPr>
          <w:rFonts w:ascii="Arial" w:hAnsi="Arial" w:eastAsia="仿宋_GB2312" w:cs="Arial"/>
          <w:b/>
          <w:color w:val="000000"/>
          <w:kern w:val="0"/>
          <w:sz w:val="28"/>
          <w:szCs w:val="28"/>
          <w:lang w:bidi="en-US"/>
        </w:rPr>
        <w:t>》，愿意自行承担融资融券业务信用账户参与科创板股票交易的风险和损失。</w:t>
      </w:r>
    </w:p>
    <w:p w14:paraId="42D8BC72">
      <w:pPr>
        <w:overflowPunct w:val="0"/>
        <w:autoSpaceDE w:val="0"/>
        <w:autoSpaceDN w:val="0"/>
        <w:adjustRightInd w:val="0"/>
        <w:snapToGrid w:val="0"/>
        <w:spacing w:line="400" w:lineRule="exact"/>
        <w:jc w:val="left"/>
        <w:rPr>
          <w:rFonts w:ascii="Arial" w:hAnsi="Arial" w:eastAsia="仿宋_GB2312" w:cs="Arial"/>
          <w:b/>
          <w:color w:val="000000"/>
          <w:kern w:val="0"/>
          <w:sz w:val="28"/>
          <w:szCs w:val="28"/>
          <w:u w:val="single"/>
          <w:lang w:bidi="en-US"/>
        </w:rPr>
      </w:pPr>
      <w:r>
        <w:rPr>
          <w:rFonts w:ascii="Arial" w:hAnsi="Arial" w:eastAsia="仿宋_GB2312" w:cs="Arial"/>
          <w:b/>
          <w:color w:val="000000"/>
          <w:kern w:val="0"/>
          <w:sz w:val="28"/>
          <w:szCs w:val="28"/>
          <w:u w:val="single"/>
          <w:lang w:bidi="en-US"/>
        </w:rPr>
        <w:t xml:space="preserve">                                                            </w:t>
      </w:r>
    </w:p>
    <w:p w14:paraId="7FA51919">
      <w:pPr>
        <w:overflowPunct w:val="0"/>
        <w:autoSpaceDE w:val="0"/>
        <w:autoSpaceDN w:val="0"/>
        <w:adjustRightInd w:val="0"/>
        <w:snapToGrid w:val="0"/>
        <w:spacing w:line="400" w:lineRule="exact"/>
        <w:jc w:val="left"/>
        <w:rPr>
          <w:rFonts w:ascii="Arial" w:hAnsi="Arial" w:eastAsia="仿宋_GB2312" w:cs="Arial"/>
          <w:b/>
          <w:color w:val="000000"/>
          <w:kern w:val="0"/>
          <w:sz w:val="28"/>
          <w:szCs w:val="28"/>
          <w:u w:val="single"/>
          <w:lang w:bidi="en-US"/>
        </w:rPr>
      </w:pPr>
      <w:r>
        <w:rPr>
          <w:rFonts w:ascii="Arial" w:hAnsi="Arial" w:eastAsia="仿宋_GB2312" w:cs="Arial"/>
          <w:b/>
          <w:color w:val="000000"/>
          <w:kern w:val="0"/>
          <w:sz w:val="28"/>
          <w:szCs w:val="28"/>
          <w:u w:val="single"/>
          <w:lang w:bidi="en-US"/>
        </w:rPr>
        <w:t xml:space="preserve">                                                            </w:t>
      </w:r>
    </w:p>
    <w:p w14:paraId="3DA581F2">
      <w:pPr>
        <w:overflowPunct w:val="0"/>
        <w:autoSpaceDE w:val="0"/>
        <w:autoSpaceDN w:val="0"/>
        <w:adjustRightInd w:val="0"/>
        <w:snapToGrid w:val="0"/>
        <w:spacing w:line="400" w:lineRule="exact"/>
        <w:jc w:val="left"/>
        <w:rPr>
          <w:rFonts w:ascii="Arial" w:hAnsi="Arial" w:eastAsia="仿宋_GB2312" w:cs="Arial"/>
          <w:b/>
          <w:color w:val="000000"/>
          <w:kern w:val="0"/>
          <w:sz w:val="28"/>
          <w:szCs w:val="28"/>
          <w:u w:val="single"/>
          <w:lang w:bidi="en-US"/>
        </w:rPr>
      </w:pPr>
      <w:r>
        <w:rPr>
          <w:rFonts w:ascii="Arial" w:hAnsi="Arial" w:eastAsia="仿宋_GB2312" w:cs="Arial"/>
          <w:b/>
          <w:color w:val="000000"/>
          <w:kern w:val="0"/>
          <w:sz w:val="28"/>
          <w:szCs w:val="28"/>
          <w:u w:val="single"/>
          <w:lang w:bidi="en-US"/>
        </w:rPr>
        <w:t xml:space="preserve">                                                            </w:t>
      </w:r>
    </w:p>
    <w:p w14:paraId="46C7C0FC">
      <w:pPr>
        <w:overflowPunct w:val="0"/>
        <w:autoSpaceDE w:val="0"/>
        <w:autoSpaceDN w:val="0"/>
        <w:adjustRightInd w:val="0"/>
        <w:snapToGrid w:val="0"/>
        <w:spacing w:line="400" w:lineRule="exact"/>
        <w:jc w:val="left"/>
        <w:rPr>
          <w:rFonts w:ascii="Arial" w:hAnsi="Arial" w:eastAsia="仿宋_GB2312" w:cs="Arial"/>
          <w:b/>
          <w:color w:val="000000"/>
          <w:kern w:val="0"/>
          <w:sz w:val="28"/>
          <w:szCs w:val="28"/>
          <w:u w:val="single"/>
          <w:lang w:bidi="en-US"/>
        </w:rPr>
      </w:pPr>
      <w:r>
        <w:rPr>
          <w:rFonts w:ascii="Arial" w:hAnsi="Arial" w:eastAsia="仿宋_GB2312" w:cs="Arial"/>
          <w:b/>
          <w:color w:val="000000"/>
          <w:kern w:val="0"/>
          <w:sz w:val="28"/>
          <w:szCs w:val="28"/>
          <w:u w:val="single"/>
          <w:lang w:bidi="en-US"/>
        </w:rPr>
        <w:t xml:space="preserve">                                                            </w:t>
      </w:r>
    </w:p>
    <w:p w14:paraId="7095CE55">
      <w:pPr>
        <w:overflowPunct w:val="0"/>
        <w:autoSpaceDE w:val="0"/>
        <w:autoSpaceDN w:val="0"/>
        <w:adjustRightInd w:val="0"/>
        <w:snapToGrid w:val="0"/>
        <w:spacing w:line="400" w:lineRule="exact"/>
        <w:jc w:val="left"/>
        <w:rPr>
          <w:rFonts w:ascii="Arial" w:hAnsi="Arial" w:eastAsia="仿宋_GB2312" w:cs="Arial"/>
          <w:b/>
          <w:color w:val="000000"/>
          <w:kern w:val="0"/>
          <w:sz w:val="28"/>
          <w:szCs w:val="28"/>
          <w:lang w:bidi="en-US"/>
        </w:rPr>
      </w:pPr>
    </w:p>
    <w:p w14:paraId="778BDC94">
      <w:pPr>
        <w:overflowPunct w:val="0"/>
        <w:autoSpaceDE w:val="0"/>
        <w:autoSpaceDN w:val="0"/>
        <w:adjustRightInd w:val="0"/>
        <w:snapToGrid w:val="0"/>
        <w:spacing w:line="400" w:lineRule="exact"/>
        <w:rPr>
          <w:rFonts w:hint="eastAsia" w:ascii="Arial" w:hAnsi="Arial" w:eastAsia="仿宋_GB2312" w:cs="Arial"/>
          <w:color w:val="000000"/>
          <w:kern w:val="0"/>
          <w:sz w:val="24"/>
          <w:szCs w:val="24"/>
          <w:lang w:bidi="en-US"/>
        </w:rPr>
      </w:pPr>
      <w:r>
        <w:rPr>
          <w:rFonts w:ascii="Arial" w:hAnsi="Arial" w:eastAsia="仿宋_GB2312" w:cs="Arial"/>
          <w:color w:val="000000"/>
          <w:kern w:val="0"/>
          <w:sz w:val="24"/>
          <w:szCs w:val="24"/>
          <w:lang w:bidi="en-US"/>
        </w:rPr>
        <w:t>客户（个人签字/机构盖章）：              证券营业机构（盖章）：</w:t>
      </w:r>
    </w:p>
    <w:p w14:paraId="48B857D9">
      <w:pPr>
        <w:overflowPunct w:val="0"/>
        <w:autoSpaceDE w:val="0"/>
        <w:autoSpaceDN w:val="0"/>
        <w:adjustRightInd w:val="0"/>
        <w:snapToGrid w:val="0"/>
        <w:spacing w:line="400" w:lineRule="exact"/>
        <w:rPr>
          <w:rFonts w:ascii="Arial" w:hAnsi="Arial" w:eastAsia="仿宋_GB2312" w:cs="Arial"/>
          <w:color w:val="000000"/>
          <w:kern w:val="0"/>
          <w:sz w:val="24"/>
          <w:szCs w:val="24"/>
          <w:lang w:bidi="en-US"/>
        </w:rPr>
      </w:pPr>
    </w:p>
    <w:p w14:paraId="2B32BA76">
      <w:pPr>
        <w:overflowPunct w:val="0"/>
        <w:autoSpaceDE w:val="0"/>
        <w:autoSpaceDN w:val="0"/>
        <w:adjustRightInd w:val="0"/>
        <w:snapToGrid w:val="0"/>
        <w:spacing w:line="400" w:lineRule="exact"/>
        <w:rPr>
          <w:rFonts w:ascii="Arial" w:hAnsi="Arial" w:eastAsia="仿宋_GB2312" w:cs="Arial"/>
          <w:color w:val="000000"/>
          <w:kern w:val="0"/>
          <w:sz w:val="24"/>
          <w:szCs w:val="24"/>
          <w:lang w:bidi="en-US"/>
        </w:rPr>
      </w:pPr>
      <w:r>
        <w:rPr>
          <w:rFonts w:ascii="Arial" w:hAnsi="Arial" w:eastAsia="仿宋_GB2312" w:cs="Arial"/>
          <w:color w:val="000000"/>
          <w:kern w:val="0"/>
          <w:sz w:val="24"/>
          <w:szCs w:val="24"/>
          <w:lang w:bidi="en-US"/>
        </w:rPr>
        <w:t>机构经办人：</w:t>
      </w:r>
    </w:p>
    <w:p w14:paraId="79B8EA7D">
      <w:pPr>
        <w:overflowPunct w:val="0"/>
        <w:autoSpaceDE w:val="0"/>
        <w:autoSpaceDN w:val="0"/>
        <w:adjustRightInd w:val="0"/>
        <w:snapToGrid w:val="0"/>
        <w:spacing w:line="400" w:lineRule="exact"/>
        <w:rPr>
          <w:rFonts w:ascii="Arial" w:hAnsi="Arial" w:eastAsia="仿宋_GB2312" w:cs="Arial"/>
          <w:color w:val="000000"/>
          <w:kern w:val="0"/>
          <w:sz w:val="24"/>
          <w:szCs w:val="24"/>
          <w:lang w:bidi="en-US"/>
        </w:rPr>
      </w:pPr>
    </w:p>
    <w:p w14:paraId="47084527">
      <w:pPr>
        <w:overflowPunct w:val="0"/>
        <w:autoSpaceDE w:val="0"/>
        <w:autoSpaceDN w:val="0"/>
        <w:adjustRightInd w:val="0"/>
        <w:snapToGrid w:val="0"/>
        <w:spacing w:line="400" w:lineRule="exact"/>
        <w:rPr>
          <w:rFonts w:ascii="Arial" w:hAnsi="Arial" w:eastAsia="仿宋_GB2312" w:cs="Arial"/>
          <w:color w:val="000000"/>
          <w:kern w:val="0"/>
          <w:sz w:val="24"/>
          <w:szCs w:val="24"/>
          <w:lang w:bidi="en-US"/>
        </w:rPr>
      </w:pPr>
      <w:r>
        <w:rPr>
          <w:rFonts w:ascii="Arial" w:hAnsi="Arial" w:eastAsia="仿宋_GB2312" w:cs="Arial"/>
          <w:color w:val="000000"/>
          <w:kern w:val="0"/>
          <w:sz w:val="24"/>
          <w:szCs w:val="24"/>
          <w:lang w:bidi="en-US"/>
        </w:rPr>
        <w:t>签署日期：   年    月   日               签署日期：   年    月   日</w:t>
      </w:r>
    </w:p>
    <w:p w14:paraId="682B0158"/>
    <w:sectPr>
      <w:pgSz w:w="11906" w:h="16838"/>
      <w:pgMar w:top="1757" w:right="1757" w:bottom="175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61804"/>
    <w:rsid w:val="3DE6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19</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2026-07-03T06:20:00Z</dcterms:created>
  <dc:creator>李琛</dc:creator>
  <cp:lastModifiedBy>李琛</cp:lastModifiedBy>
  <dcterms:modified xsi:type="dcterms:W3CDTF">2026-07-03T06:54:34Z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257E7FCE59E64AD8BBA1B11089E9FB74_11</vt:lpwstr>
  </property>
  <property fmtid="{D5CDD505-2E9C-101B-9397-08002B2CF9AE}" pid="4" name="KSOTemplateDocerSaveRecord">
    <vt:lpwstr>eyJoZGlkIjoiMWE4M2E5NTUxMmRhYmEyNmQxMTQ4N2U1MzdkNjBjYTEiLCJ1c2VySWQiOiIyMTA3NjM2MjcifQ==</vt:lpwstr>
  </property>
</Properties>
</file>