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3AACD">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hint="eastAsia" w:ascii="宋体" w:hAnsi="宋体"/>
          <w:b/>
          <w:kern w:val="0"/>
          <w:sz w:val="36"/>
          <w:szCs w:val="36"/>
          <w:lang w:bidi="en-US"/>
        </w:rPr>
      </w:pPr>
      <w:bookmarkStart w:id="0" w:name="_Hlk61446061"/>
      <w:bookmarkStart w:id="1" w:name="_Hlk61446538"/>
    </w:p>
    <w:p w14:paraId="330C7A33">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hint="eastAsia" w:ascii="宋体" w:hAnsi="宋体"/>
          <w:b/>
          <w:kern w:val="0"/>
          <w:sz w:val="36"/>
          <w:szCs w:val="36"/>
          <w:lang w:bidi="en-US"/>
        </w:rPr>
      </w:pPr>
      <w:bookmarkStart w:id="2" w:name="_GoBack"/>
      <w:r>
        <w:rPr>
          <w:rFonts w:hint="eastAsia" w:ascii="宋体" w:hAnsi="宋体"/>
          <w:b/>
          <w:kern w:val="0"/>
          <w:sz w:val="36"/>
          <w:szCs w:val="36"/>
          <w:lang w:bidi="en-US"/>
        </w:rPr>
        <w:t>大同证券有限责任公司</w:t>
      </w:r>
    </w:p>
    <w:p w14:paraId="09A5CE5C">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ascii="宋体" w:hAnsi="宋体"/>
          <w:b/>
          <w:kern w:val="0"/>
          <w:sz w:val="36"/>
          <w:szCs w:val="36"/>
          <w:lang w:bidi="en-US"/>
        </w:rPr>
      </w:pPr>
      <w:r>
        <w:rPr>
          <w:rFonts w:hint="eastAsia" w:ascii="宋体" w:hAnsi="宋体"/>
          <w:b/>
          <w:kern w:val="0"/>
          <w:sz w:val="36"/>
          <w:szCs w:val="36"/>
          <w:lang w:bidi="en-US"/>
        </w:rPr>
        <w:t>退市整理股票</w:t>
      </w:r>
      <w:bookmarkEnd w:id="0"/>
      <w:r>
        <w:rPr>
          <w:rFonts w:hint="eastAsia" w:ascii="宋体" w:hAnsi="宋体"/>
          <w:b/>
          <w:kern w:val="0"/>
          <w:sz w:val="36"/>
          <w:szCs w:val="36"/>
          <w:lang w:bidi="en-US"/>
        </w:rPr>
        <w:t>投资者风险揭示书</w:t>
      </w:r>
      <w:bookmarkEnd w:id="1"/>
    </w:p>
    <w:bookmarkEnd w:id="2"/>
    <w:p w14:paraId="4EBD155E">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Arial" w:hAnsi="Arial" w:eastAsia="仿宋_GB2312"/>
          <w:sz w:val="24"/>
          <w:szCs w:val="28"/>
        </w:rPr>
      </w:pPr>
    </w:p>
    <w:p w14:paraId="36F26066">
      <w:pPr>
        <w:keepNext w:val="0"/>
        <w:keepLines w:val="0"/>
        <w:pageBreakBefore w:val="0"/>
        <w:widowControl w:val="0"/>
        <w:kinsoku/>
        <w:wordWrap/>
        <w:topLinePunct w:val="0"/>
        <w:bidi w:val="0"/>
        <w:adjustRightInd w:val="0"/>
        <w:snapToGrid w:val="0"/>
        <w:spacing w:before="120" w:line="400" w:lineRule="exact"/>
        <w:textAlignment w:val="auto"/>
        <w:rPr>
          <w:rFonts w:ascii="Arial" w:hAnsi="Arial" w:eastAsia="仿宋_GB2312" w:cs="Arial"/>
          <w:sz w:val="24"/>
          <w:szCs w:val="24"/>
        </w:rPr>
      </w:pPr>
      <w:r>
        <w:rPr>
          <w:rFonts w:hint="eastAsia" w:ascii="Arial" w:hAnsi="Arial" w:eastAsia="仿宋_GB2312" w:cs="Arial"/>
          <w:sz w:val="24"/>
          <w:szCs w:val="24"/>
        </w:rPr>
        <w:t>尊敬的投资者：</w:t>
      </w:r>
    </w:p>
    <w:p w14:paraId="56EB1809">
      <w:pPr>
        <w:keepNext w:val="0"/>
        <w:keepLines w:val="0"/>
        <w:pageBreakBefore w:val="0"/>
        <w:widowControl w:val="0"/>
        <w:kinsoku/>
        <w:wordWrap/>
        <w:topLinePunct w:val="0"/>
        <w:bidi w:val="0"/>
        <w:adjustRightInd w:val="0"/>
        <w:snapToGrid w:val="0"/>
        <w:spacing w:before="60" w:line="400" w:lineRule="exact"/>
        <w:ind w:firstLine="480" w:firstLineChars="200"/>
        <w:textAlignment w:val="auto"/>
        <w:rPr>
          <w:rFonts w:ascii="Arial" w:hAnsi="Arial" w:eastAsia="仿宋_GB2312" w:cs="Arial"/>
          <w:sz w:val="24"/>
          <w:szCs w:val="24"/>
        </w:rPr>
      </w:pPr>
      <w:r>
        <w:rPr>
          <w:rFonts w:hint="eastAsia" w:ascii="Arial" w:hAnsi="Arial" w:eastAsia="仿宋_GB2312" w:cs="Arial"/>
          <w:sz w:val="24"/>
          <w:szCs w:val="24"/>
        </w:rPr>
        <w:t>为了使您充分了解参与退市整理股票交易面临的风险，根据沪深交易所相关规定，特提供本风险揭示书，请您认真详细阅读：</w:t>
      </w:r>
    </w:p>
    <w:p w14:paraId="2821E859">
      <w:pPr>
        <w:keepNext w:val="0"/>
        <w:keepLines w:val="0"/>
        <w:pageBreakBefore w:val="0"/>
        <w:widowControl w:val="0"/>
        <w:kinsoku/>
        <w:wordWrap/>
        <w:topLinePunct w:val="0"/>
        <w:bidi w:val="0"/>
        <w:adjustRightInd w:val="0"/>
        <w:snapToGrid w:val="0"/>
        <w:spacing w:before="60" w:line="400" w:lineRule="exact"/>
        <w:ind w:firstLine="480" w:firstLineChars="200"/>
        <w:textAlignment w:val="auto"/>
        <w:rPr>
          <w:rFonts w:ascii="Arial" w:hAnsi="Arial" w:eastAsia="仿宋_GB2312" w:cs="Arial"/>
          <w:sz w:val="24"/>
          <w:szCs w:val="24"/>
        </w:rPr>
      </w:pPr>
      <w:r>
        <w:rPr>
          <w:rFonts w:hint="eastAsia" w:ascii="Arial" w:hAnsi="Arial" w:eastAsia="仿宋_GB2312" w:cs="Arial"/>
          <w:sz w:val="24"/>
          <w:szCs w:val="24"/>
        </w:rPr>
        <w:t>一、投资者在参与退市整理股票交易前，应充分了解退市相关规则、退市整理股票交易规定和进入退市整理期上市公司的基本面情况，并根据自身财务状况、实际需求及风险承受能力等，审慎考虑是否买入退市整理股票；</w:t>
      </w:r>
      <w:r>
        <w:rPr>
          <w:rFonts w:ascii="Arial" w:hAnsi="Arial" w:eastAsia="仿宋_GB2312" w:cs="Arial"/>
          <w:sz w:val="24"/>
          <w:szCs w:val="24"/>
        </w:rPr>
        <w:t>退市整理股票已被证券交易所作出终止上市决定，在一定期限届满后将被</w:t>
      </w:r>
      <w:r>
        <w:rPr>
          <w:rFonts w:hint="eastAsia" w:ascii="Arial" w:hAnsi="Arial" w:eastAsia="仿宋_GB2312" w:cs="Arial"/>
          <w:sz w:val="24"/>
          <w:szCs w:val="24"/>
        </w:rPr>
        <w:t>摘牌</w:t>
      </w:r>
      <w:r>
        <w:rPr>
          <w:rFonts w:ascii="Arial" w:hAnsi="Arial" w:eastAsia="仿宋_GB2312" w:cs="Arial"/>
          <w:sz w:val="24"/>
          <w:szCs w:val="24"/>
        </w:rPr>
        <w:t>，风险相对较大</w:t>
      </w:r>
      <w:r>
        <w:rPr>
          <w:rFonts w:hint="eastAsia" w:ascii="Arial" w:hAnsi="Arial" w:eastAsia="仿宋_GB2312" w:cs="Arial"/>
          <w:sz w:val="24"/>
          <w:szCs w:val="24"/>
        </w:rPr>
        <w:t>。</w:t>
      </w:r>
    </w:p>
    <w:p w14:paraId="1ED0E562">
      <w:pPr>
        <w:keepNext w:val="0"/>
        <w:keepLines w:val="0"/>
        <w:pageBreakBefore w:val="0"/>
        <w:widowControl w:val="0"/>
        <w:kinsoku/>
        <w:wordWrap/>
        <w:topLinePunct w:val="0"/>
        <w:bidi w:val="0"/>
        <w:adjustRightInd w:val="0"/>
        <w:snapToGrid w:val="0"/>
        <w:spacing w:before="60" w:line="400" w:lineRule="exact"/>
        <w:ind w:firstLine="480" w:firstLineChars="200"/>
        <w:textAlignment w:val="auto"/>
        <w:rPr>
          <w:rFonts w:ascii="Arial" w:hAnsi="Arial" w:eastAsia="仿宋_GB2312" w:cs="Arial"/>
          <w:sz w:val="24"/>
          <w:szCs w:val="24"/>
        </w:rPr>
      </w:pPr>
      <w:r>
        <w:rPr>
          <w:rFonts w:hint="eastAsia" w:ascii="Arial" w:hAnsi="Arial" w:eastAsia="仿宋_GB2312" w:cs="Arial"/>
          <w:sz w:val="24"/>
          <w:szCs w:val="24"/>
        </w:rPr>
        <w:t>二、上市公司被深交所作出终止上市的决定可能为以下原因：交易类原因、财务类原因、规范类原因、重大违法或者公司主动终止上市。因财务类、规范类、重大违法相关规定被证券交易所作出终止上市决定的，上市公司股票自公告终止上市决定之日起，于相关规定期限内复牌并进入退市整理期交易。投资者应当知悉相关股票终止上市的原因，注意相关风险。</w:t>
      </w:r>
    </w:p>
    <w:p w14:paraId="0EFEAAFA">
      <w:pPr>
        <w:keepNext w:val="0"/>
        <w:keepLines w:val="0"/>
        <w:pageBreakBefore w:val="0"/>
        <w:widowControl w:val="0"/>
        <w:kinsoku/>
        <w:wordWrap/>
        <w:topLinePunct w:val="0"/>
        <w:bidi w:val="0"/>
        <w:adjustRightInd w:val="0"/>
        <w:snapToGrid w:val="0"/>
        <w:spacing w:before="60" w:line="400" w:lineRule="exact"/>
        <w:ind w:firstLine="480" w:firstLineChars="200"/>
        <w:textAlignment w:val="auto"/>
        <w:rPr>
          <w:rFonts w:ascii="Arial" w:hAnsi="Arial" w:eastAsia="仿宋_GB2312" w:cs="Arial"/>
          <w:sz w:val="24"/>
          <w:szCs w:val="24"/>
        </w:rPr>
      </w:pPr>
      <w:r>
        <w:rPr>
          <w:rFonts w:hint="eastAsia" w:ascii="Arial" w:hAnsi="Arial" w:eastAsia="仿宋_GB2312" w:cs="Arial"/>
          <w:sz w:val="24"/>
          <w:szCs w:val="24"/>
        </w:rPr>
        <w:t>三、深交所股票进入退市整理期后证券代码不变，股票简称</w:t>
      </w:r>
      <w:r>
        <w:rPr>
          <w:rFonts w:hint="eastAsia" w:ascii="Arial" w:hAnsi="Arial" w:eastAsia="仿宋_GB2312" w:cs="Arial"/>
          <w:color w:val="000000"/>
          <w:sz w:val="24"/>
          <w:szCs w:val="24"/>
        </w:rPr>
        <w:t>会被</w:t>
      </w:r>
      <w:r>
        <w:rPr>
          <w:rFonts w:hint="eastAsia" w:ascii="Arial" w:hAnsi="Arial" w:eastAsia="仿宋_GB2312" w:cs="Arial"/>
          <w:sz w:val="24"/>
          <w:szCs w:val="24"/>
        </w:rPr>
        <w:t>冠以相关退市标识，退市整理股票进入风险警示板交易，行情揭示可能与其他股票不同。</w:t>
      </w:r>
    </w:p>
    <w:p w14:paraId="7155194A">
      <w:pPr>
        <w:keepNext w:val="0"/>
        <w:keepLines w:val="0"/>
        <w:pageBreakBefore w:val="0"/>
        <w:widowControl w:val="0"/>
        <w:kinsoku/>
        <w:wordWrap/>
        <w:topLinePunct w:val="0"/>
        <w:bidi w:val="0"/>
        <w:adjustRightInd w:val="0"/>
        <w:snapToGrid w:val="0"/>
        <w:spacing w:before="60" w:line="400" w:lineRule="exact"/>
        <w:ind w:firstLine="480" w:firstLineChars="200"/>
        <w:textAlignment w:val="auto"/>
        <w:rPr>
          <w:rFonts w:ascii="Arial" w:hAnsi="Arial" w:eastAsia="仿宋_GB2312" w:cs="Arial"/>
          <w:sz w:val="24"/>
          <w:szCs w:val="24"/>
        </w:rPr>
      </w:pPr>
      <w:r>
        <w:rPr>
          <w:rFonts w:hint="eastAsia" w:ascii="Arial" w:hAnsi="Arial" w:eastAsia="仿宋_GB2312" w:cs="Arial"/>
          <w:sz w:val="24"/>
          <w:szCs w:val="24"/>
        </w:rPr>
        <w:t>四、</w:t>
      </w:r>
      <w:r>
        <w:rPr>
          <w:rFonts w:ascii="Arial" w:hAnsi="Arial" w:eastAsia="仿宋_GB2312" w:cs="Arial"/>
          <w:sz w:val="24"/>
          <w:szCs w:val="24"/>
        </w:rPr>
        <w:t>投资者在参与退市整理股票交易前，应充分了解投资者买卖退市整理股票应当采用限价委托的方式</w:t>
      </w:r>
      <w:r>
        <w:rPr>
          <w:rFonts w:hint="eastAsia" w:ascii="Arial" w:hAnsi="Arial" w:eastAsia="仿宋_GB2312" w:cs="Arial"/>
          <w:sz w:val="24"/>
          <w:szCs w:val="24"/>
        </w:rPr>
        <w:t>，退市整理期交易首日连续竞价阶段的限价申报应当符合相关要求。</w:t>
      </w:r>
    </w:p>
    <w:p w14:paraId="6F6DB851">
      <w:pPr>
        <w:keepNext w:val="0"/>
        <w:keepLines w:val="0"/>
        <w:pageBreakBefore w:val="0"/>
        <w:widowControl w:val="0"/>
        <w:kinsoku/>
        <w:wordWrap/>
        <w:topLinePunct w:val="0"/>
        <w:bidi w:val="0"/>
        <w:adjustRightInd w:val="0"/>
        <w:snapToGrid w:val="0"/>
        <w:spacing w:before="60" w:line="400" w:lineRule="exact"/>
        <w:ind w:firstLine="480" w:firstLineChars="200"/>
        <w:textAlignment w:val="auto"/>
        <w:rPr>
          <w:rFonts w:ascii="Arial" w:hAnsi="Arial" w:eastAsia="仿宋_GB2312" w:cs="Arial"/>
          <w:sz w:val="24"/>
          <w:szCs w:val="24"/>
        </w:rPr>
      </w:pPr>
      <w:r>
        <w:rPr>
          <w:rFonts w:hint="eastAsia" w:ascii="Arial" w:hAnsi="Arial" w:eastAsia="仿宋_GB2312" w:cs="Arial"/>
          <w:sz w:val="24"/>
          <w:szCs w:val="24"/>
        </w:rPr>
        <w:t>五、进入退市整理期的股票，在风险警示板的交易期限为</w:t>
      </w:r>
      <w:r>
        <w:rPr>
          <w:rFonts w:ascii="Arial" w:hAnsi="Arial" w:eastAsia="仿宋_GB2312" w:cs="Arial"/>
          <w:sz w:val="24"/>
          <w:szCs w:val="24"/>
        </w:rPr>
        <w:t>15个交易日，退市整理期交易首日无价格涨跌幅限制</w:t>
      </w:r>
      <w:r>
        <w:rPr>
          <w:rFonts w:hint="eastAsia" w:ascii="Arial" w:hAnsi="Arial" w:eastAsia="仿宋_GB2312" w:cs="Arial"/>
          <w:sz w:val="24"/>
          <w:szCs w:val="24"/>
        </w:rPr>
        <w:t>，投资者应当注意价格大幅波动风险。不实行价格涨跌幅限制的深市退市整理股票交易，实施盘中临时停牌制度，投资者应当了解盘中临时停牌相关规定。</w:t>
      </w:r>
    </w:p>
    <w:p w14:paraId="264E5255">
      <w:pPr>
        <w:keepNext w:val="0"/>
        <w:keepLines w:val="0"/>
        <w:pageBreakBefore w:val="0"/>
        <w:widowControl w:val="0"/>
        <w:kinsoku/>
        <w:wordWrap/>
        <w:topLinePunct w:val="0"/>
        <w:bidi w:val="0"/>
        <w:adjustRightInd w:val="0"/>
        <w:snapToGrid w:val="0"/>
        <w:spacing w:before="60" w:line="400" w:lineRule="exact"/>
        <w:ind w:firstLine="480" w:firstLineChars="200"/>
        <w:textAlignment w:val="auto"/>
        <w:rPr>
          <w:rFonts w:ascii="Arial" w:hAnsi="Arial" w:eastAsia="仿宋_GB2312" w:cs="Arial"/>
          <w:sz w:val="24"/>
          <w:szCs w:val="24"/>
        </w:rPr>
      </w:pPr>
      <w:r>
        <w:rPr>
          <w:rFonts w:hint="eastAsia" w:ascii="Arial" w:hAnsi="Arial" w:eastAsia="仿宋_GB2312" w:cs="Arial"/>
          <w:sz w:val="24"/>
          <w:szCs w:val="24"/>
        </w:rPr>
        <w:t>证券交易所于退市整理交易期限届满后</w:t>
      </w:r>
      <w:r>
        <w:rPr>
          <w:rFonts w:ascii="Arial" w:hAnsi="Arial" w:eastAsia="仿宋_GB2312" w:cs="Arial"/>
          <w:sz w:val="24"/>
          <w:szCs w:val="24"/>
        </w:rPr>
        <w:t>5个交易日内</w:t>
      </w:r>
      <w:r>
        <w:rPr>
          <w:rFonts w:hint="eastAsia" w:ascii="Arial" w:hAnsi="Arial" w:eastAsia="仿宋_GB2312" w:cs="Arial"/>
          <w:sz w:val="24"/>
          <w:szCs w:val="24"/>
        </w:rPr>
        <w:t>（深交所为交易期限届满次一交易日）</w:t>
      </w:r>
      <w:r>
        <w:rPr>
          <w:rFonts w:ascii="Arial" w:hAnsi="Arial" w:eastAsia="仿宋_GB2312" w:cs="Arial"/>
          <w:sz w:val="24"/>
          <w:szCs w:val="24"/>
        </w:rPr>
        <w:t>对退市整理股票予以摘牌，公司股票终止上市。投资者应当密切关注退市整理股票的剩余交易日和最后交易日，否则有可能错失卖出机会，造成不必要的损失。退市整理股票在风险警示板交易期间全天停牌的</w:t>
      </w:r>
      <w:r>
        <w:rPr>
          <w:rFonts w:hint="eastAsia" w:ascii="Arial" w:hAnsi="Arial" w:eastAsia="仿宋_GB2312" w:cs="Arial"/>
          <w:sz w:val="24"/>
          <w:szCs w:val="24"/>
          <w:lang w:eastAsia="zh-CN"/>
        </w:rPr>
        <w:t>（</w:t>
      </w:r>
      <w:r>
        <w:rPr>
          <w:rFonts w:hint="eastAsia" w:ascii="Arial" w:hAnsi="Arial" w:eastAsia="仿宋_GB2312" w:cs="Arial"/>
          <w:sz w:val="24"/>
          <w:szCs w:val="24"/>
          <w:lang w:val="en-US" w:eastAsia="zh-CN"/>
        </w:rPr>
        <w:t>上交所限定停牌天数累计不超过5个交易日）</w:t>
      </w:r>
      <w:r>
        <w:rPr>
          <w:rFonts w:ascii="Arial" w:hAnsi="Arial" w:eastAsia="仿宋_GB2312" w:cs="Arial"/>
          <w:sz w:val="24"/>
          <w:szCs w:val="24"/>
        </w:rPr>
        <w:t>，停牌期间不计入上述交易期限内。</w:t>
      </w:r>
    </w:p>
    <w:p w14:paraId="569DC702">
      <w:pPr>
        <w:keepNext w:val="0"/>
        <w:keepLines w:val="0"/>
        <w:pageBreakBefore w:val="0"/>
        <w:widowControl w:val="0"/>
        <w:kinsoku/>
        <w:wordWrap/>
        <w:topLinePunct w:val="0"/>
        <w:bidi w:val="0"/>
        <w:adjustRightInd w:val="0"/>
        <w:snapToGrid w:val="0"/>
        <w:spacing w:before="60" w:line="400" w:lineRule="exact"/>
        <w:ind w:firstLine="480" w:firstLineChars="200"/>
        <w:textAlignment w:val="auto"/>
        <w:rPr>
          <w:rFonts w:ascii="Arial" w:hAnsi="Arial" w:eastAsia="仿宋_GB2312" w:cs="Arial"/>
          <w:sz w:val="24"/>
          <w:szCs w:val="24"/>
        </w:rPr>
      </w:pPr>
      <w:r>
        <w:rPr>
          <w:rFonts w:hint="eastAsia" w:ascii="Arial" w:hAnsi="Arial" w:eastAsia="仿宋_GB2312" w:cs="Arial"/>
          <w:sz w:val="24"/>
          <w:szCs w:val="24"/>
        </w:rPr>
        <w:t>六、退市整理股票的交易可能存在流动性风险，投资者买入后可能因无法在股票摘牌前及时卖出所持股票而导致损失。</w:t>
      </w:r>
    </w:p>
    <w:p w14:paraId="720DACDC">
      <w:pPr>
        <w:keepNext w:val="0"/>
        <w:keepLines w:val="0"/>
        <w:pageBreakBefore w:val="0"/>
        <w:widowControl w:val="0"/>
        <w:kinsoku/>
        <w:wordWrap/>
        <w:topLinePunct w:val="0"/>
        <w:bidi w:val="0"/>
        <w:adjustRightInd w:val="0"/>
        <w:snapToGrid w:val="0"/>
        <w:spacing w:before="60" w:line="400" w:lineRule="exact"/>
        <w:ind w:firstLine="480" w:firstLineChars="200"/>
        <w:textAlignment w:val="auto"/>
        <w:rPr>
          <w:rFonts w:ascii="Arial" w:hAnsi="Arial" w:eastAsia="仿宋_GB2312" w:cs="Arial"/>
          <w:sz w:val="24"/>
          <w:szCs w:val="24"/>
        </w:rPr>
      </w:pPr>
      <w:r>
        <w:rPr>
          <w:rFonts w:hint="eastAsia" w:ascii="Arial" w:hAnsi="Arial" w:eastAsia="仿宋_GB2312" w:cs="Arial"/>
          <w:sz w:val="24"/>
          <w:szCs w:val="24"/>
        </w:rPr>
        <w:t>七、</w:t>
      </w:r>
      <w:r>
        <w:rPr>
          <w:rFonts w:ascii="Arial" w:hAnsi="Arial" w:eastAsia="仿宋_GB2312" w:cs="Arial"/>
          <w:sz w:val="24"/>
          <w:szCs w:val="24"/>
        </w:rPr>
        <w:t>退市整理股票交易实行投资者适当性管理制度。个人投资者买入退市整理股票的，应当具备</w:t>
      </w:r>
      <w:r>
        <w:rPr>
          <w:rFonts w:hint="eastAsia" w:ascii="Arial" w:hAnsi="Arial" w:eastAsia="仿宋_GB2312" w:cs="Arial"/>
          <w:sz w:val="24"/>
          <w:szCs w:val="24"/>
        </w:rPr>
        <w:t>2</w:t>
      </w:r>
      <w:r>
        <w:rPr>
          <w:rFonts w:ascii="Arial" w:hAnsi="Arial" w:eastAsia="仿宋_GB2312" w:cs="Arial"/>
          <w:sz w:val="24"/>
          <w:szCs w:val="24"/>
        </w:rPr>
        <w:t>年以上的股票交易经历，且以本人名义开立的证券账户和资金账户内的资产（不含通过融资融券交易融入的证券和资金）在人民币</w:t>
      </w:r>
      <w:r>
        <w:rPr>
          <w:rFonts w:hint="eastAsia" w:ascii="Arial" w:hAnsi="Arial" w:eastAsia="仿宋_GB2312" w:cs="Arial"/>
          <w:sz w:val="24"/>
          <w:szCs w:val="24"/>
        </w:rPr>
        <w:t>50</w:t>
      </w:r>
      <w:r>
        <w:rPr>
          <w:rFonts w:ascii="Arial" w:hAnsi="Arial" w:eastAsia="仿宋_GB2312" w:cs="Arial"/>
          <w:sz w:val="24"/>
          <w:szCs w:val="24"/>
        </w:rPr>
        <w:t>万元以上。不符合以上规定的个人投资者，仅可卖出已持有的退市整理股票。</w:t>
      </w:r>
    </w:p>
    <w:p w14:paraId="3CCA453F">
      <w:pPr>
        <w:keepNext w:val="0"/>
        <w:keepLines w:val="0"/>
        <w:pageBreakBefore w:val="0"/>
        <w:widowControl w:val="0"/>
        <w:kinsoku/>
        <w:wordWrap/>
        <w:topLinePunct w:val="0"/>
        <w:bidi w:val="0"/>
        <w:adjustRightInd w:val="0"/>
        <w:snapToGrid w:val="0"/>
        <w:spacing w:before="60" w:line="400" w:lineRule="exact"/>
        <w:ind w:firstLine="480" w:firstLineChars="200"/>
        <w:textAlignment w:val="auto"/>
        <w:rPr>
          <w:rFonts w:ascii="Arial" w:hAnsi="Arial" w:eastAsia="仿宋_GB2312" w:cs="Arial"/>
          <w:sz w:val="24"/>
          <w:szCs w:val="24"/>
        </w:rPr>
      </w:pPr>
      <w:r>
        <w:rPr>
          <w:rFonts w:hint="eastAsia" w:ascii="Arial" w:hAnsi="Arial" w:eastAsia="仿宋_GB2312" w:cs="Arial"/>
          <w:sz w:val="24"/>
          <w:szCs w:val="24"/>
        </w:rPr>
        <w:t>八、投资者应当特别关注公司在退市整理期间发布的提示性公告，及时从上市公司网站、证券交易所网站、符合中国证监会规定条件的信息披露媒体以及证券公司网站等渠道获取相关信息。</w:t>
      </w:r>
    </w:p>
    <w:p w14:paraId="5C33E05D">
      <w:pPr>
        <w:keepNext w:val="0"/>
        <w:keepLines w:val="0"/>
        <w:pageBreakBefore w:val="0"/>
        <w:widowControl w:val="0"/>
        <w:kinsoku/>
        <w:wordWrap/>
        <w:topLinePunct w:val="0"/>
        <w:bidi w:val="0"/>
        <w:adjustRightInd w:val="0"/>
        <w:snapToGrid w:val="0"/>
        <w:spacing w:before="60" w:line="400" w:lineRule="exact"/>
        <w:ind w:firstLine="480" w:firstLineChars="200"/>
        <w:textAlignment w:val="auto"/>
        <w:rPr>
          <w:rFonts w:ascii="Arial" w:hAnsi="Arial" w:eastAsia="仿宋_GB2312" w:cs="Arial"/>
          <w:sz w:val="24"/>
          <w:szCs w:val="24"/>
        </w:rPr>
      </w:pPr>
      <w:r>
        <w:rPr>
          <w:rFonts w:hint="eastAsia" w:ascii="Arial" w:hAnsi="Arial" w:eastAsia="仿宋_GB2312" w:cs="Arial"/>
          <w:sz w:val="24"/>
          <w:szCs w:val="24"/>
        </w:rPr>
        <w:t>九、按照现行规定，除触及欺诈发行强制退市的公司外，上市公司股票被终止上市后可以向证券交易所申请重新上市，但须达到证券交易所规定的重新上市条件，能否重新上市存在较大的不确定性。</w:t>
      </w:r>
    </w:p>
    <w:p w14:paraId="6A34D241">
      <w:pPr>
        <w:keepNext w:val="0"/>
        <w:keepLines w:val="0"/>
        <w:pageBreakBefore w:val="0"/>
        <w:widowControl w:val="0"/>
        <w:kinsoku/>
        <w:wordWrap/>
        <w:topLinePunct w:val="0"/>
        <w:bidi w:val="0"/>
        <w:adjustRightInd w:val="0"/>
        <w:snapToGrid w:val="0"/>
        <w:spacing w:before="60" w:line="400" w:lineRule="exact"/>
        <w:ind w:firstLine="480" w:firstLineChars="200"/>
        <w:textAlignment w:val="auto"/>
        <w:rPr>
          <w:rFonts w:ascii="Arial" w:hAnsi="Arial" w:eastAsia="仿宋_GB2312" w:cs="Arial"/>
          <w:sz w:val="24"/>
          <w:szCs w:val="24"/>
        </w:rPr>
      </w:pPr>
      <w:r>
        <w:rPr>
          <w:rFonts w:hint="eastAsia" w:ascii="Arial" w:hAnsi="Arial" w:eastAsia="仿宋_GB2312" w:cs="Arial"/>
          <w:sz w:val="24"/>
          <w:szCs w:val="24"/>
        </w:rPr>
        <w:t>十、退市整理股票相关法律、行政法规、部门规章、规范性文件（以下简称法律法规）、证券交易所和登记结算机构业务规则可能根据市场情况进行制定、废止和修改，投资者应当及时予以关注和了解。</w:t>
      </w:r>
    </w:p>
    <w:p w14:paraId="4B01D4B2">
      <w:pPr>
        <w:keepNext w:val="0"/>
        <w:keepLines w:val="0"/>
        <w:pageBreakBefore w:val="0"/>
        <w:widowControl w:val="0"/>
        <w:kinsoku/>
        <w:wordWrap/>
        <w:topLinePunct w:val="0"/>
        <w:bidi w:val="0"/>
        <w:adjustRightInd w:val="0"/>
        <w:snapToGrid w:val="0"/>
        <w:spacing w:before="60" w:line="400" w:lineRule="exact"/>
        <w:textAlignment w:val="auto"/>
        <w:rPr>
          <w:rFonts w:ascii="Arial" w:hAnsi="Arial" w:eastAsia="仿宋_GB2312" w:cs="Arial"/>
          <w:sz w:val="24"/>
          <w:szCs w:val="24"/>
        </w:rPr>
      </w:pPr>
    </w:p>
    <w:p w14:paraId="080F4FF0">
      <w:pPr>
        <w:keepNext w:val="0"/>
        <w:keepLines w:val="0"/>
        <w:pageBreakBefore w:val="0"/>
        <w:widowControl w:val="0"/>
        <w:kinsoku/>
        <w:wordWrap/>
        <w:topLinePunct w:val="0"/>
        <w:bidi w:val="0"/>
        <w:adjustRightInd w:val="0"/>
        <w:snapToGrid w:val="0"/>
        <w:spacing w:before="60" w:line="400" w:lineRule="exact"/>
        <w:ind w:firstLine="482" w:firstLineChars="200"/>
        <w:textAlignment w:val="auto"/>
        <w:rPr>
          <w:rFonts w:ascii="Arial" w:hAnsi="Arial" w:eastAsia="仿宋_GB2312" w:cs="Arial"/>
          <w:b/>
          <w:sz w:val="24"/>
          <w:szCs w:val="24"/>
        </w:rPr>
      </w:pPr>
      <w:r>
        <w:rPr>
          <w:rFonts w:hint="eastAsia" w:ascii="Arial" w:hAnsi="Arial" w:eastAsia="仿宋_GB2312" w:cs="Arial"/>
          <w:b/>
          <w:sz w:val="24"/>
          <w:szCs w:val="24"/>
        </w:rPr>
        <w:t>特别提示：本《风险揭示书》的提示事项仅为列举性质，未能详尽列明退市整理股票交易的所有风险，投资者在参与交易前，应当认真阅读有关法律法规、证券交易所和登记结算机构业务规则等相关规定，对其他可能存在的风险因素也应当有所了解和掌握，并确信自己已做好足够的风险评估与财务安排，避免因参与退市整理股票交易遭受难以承受的损失。</w:t>
      </w:r>
    </w:p>
    <w:p w14:paraId="32733942">
      <w:pPr>
        <w:keepNext w:val="0"/>
        <w:keepLines w:val="0"/>
        <w:pageBreakBefore w:val="0"/>
        <w:widowControl w:val="0"/>
        <w:kinsoku/>
        <w:wordWrap/>
        <w:overflowPunct w:val="0"/>
        <w:topLinePunct w:val="0"/>
        <w:bidi w:val="0"/>
        <w:spacing w:line="400" w:lineRule="exact"/>
        <w:ind w:firstLine="482" w:firstLineChars="200"/>
        <w:textAlignment w:val="auto"/>
        <w:rPr>
          <w:rFonts w:ascii="Arial" w:hAnsi="Arial" w:eastAsia="仿宋_GB2312" w:cs="Arial"/>
          <w:b/>
          <w:color w:val="000000"/>
          <w:sz w:val="24"/>
          <w:szCs w:val="24"/>
        </w:rPr>
      </w:pPr>
      <w:r>
        <w:rPr>
          <w:rFonts w:hint="eastAsia" w:ascii="Arial" w:hAnsi="Arial" w:eastAsia="仿宋_GB2312" w:cs="Arial"/>
          <w:b/>
          <w:color w:val="000000"/>
          <w:sz w:val="24"/>
          <w:szCs w:val="24"/>
        </w:rPr>
        <w:t>签署本人姓名则表示：您</w:t>
      </w:r>
      <w:r>
        <w:rPr>
          <w:rFonts w:ascii="Arial" w:hAnsi="Arial" w:eastAsia="仿宋_GB2312" w:cs="Arial"/>
          <w:b/>
          <w:color w:val="000000"/>
          <w:sz w:val="24"/>
          <w:szCs w:val="24"/>
        </w:rPr>
        <w:t>/本机构已经理解并愿意自行承担</w:t>
      </w:r>
      <w:r>
        <w:rPr>
          <w:rFonts w:hint="eastAsia" w:ascii="Arial" w:hAnsi="Arial" w:eastAsia="仿宋_GB2312" w:cs="Arial"/>
          <w:b/>
          <w:sz w:val="24"/>
          <w:szCs w:val="24"/>
        </w:rPr>
        <w:t>参与退市整理股票交易</w:t>
      </w:r>
      <w:r>
        <w:rPr>
          <w:rFonts w:ascii="Arial" w:hAnsi="Arial" w:eastAsia="仿宋_GB2312" w:cs="Arial"/>
          <w:b/>
          <w:color w:val="000000"/>
          <w:sz w:val="24"/>
          <w:szCs w:val="24"/>
        </w:rPr>
        <w:t>的风险和损失。</w:t>
      </w:r>
    </w:p>
    <w:p w14:paraId="6E6FFDDE">
      <w:pPr>
        <w:overflowPunct w:val="0"/>
        <w:spacing w:line="400" w:lineRule="exact"/>
        <w:rPr>
          <w:rFonts w:hint="eastAsia" w:ascii="Arial" w:hAnsi="Arial" w:eastAsia="仿宋_GB2312" w:cs="Arial"/>
          <w:kern w:val="0"/>
          <w:sz w:val="24"/>
          <w:szCs w:val="24"/>
          <w:lang w:bidi="en-US"/>
        </w:rPr>
      </w:pPr>
    </w:p>
    <w:p w14:paraId="3252514F">
      <w:pPr>
        <w:overflowPunct w:val="0"/>
        <w:spacing w:line="400" w:lineRule="exact"/>
        <w:rPr>
          <w:rFonts w:ascii="Arial" w:hAnsi="Arial" w:eastAsia="仿宋_GB2312" w:cs="Arial"/>
          <w:kern w:val="0"/>
          <w:sz w:val="24"/>
          <w:szCs w:val="24"/>
          <w:lang w:bidi="en-US"/>
        </w:rPr>
      </w:pPr>
    </w:p>
    <w:p w14:paraId="383E99B4">
      <w:pPr>
        <w:overflowPunct w:val="0"/>
        <w:spacing w:line="400" w:lineRule="exact"/>
        <w:rPr>
          <w:rFonts w:ascii="Arial" w:hAnsi="Arial" w:eastAsia="仿宋_GB2312" w:cs="Arial"/>
          <w:kern w:val="0"/>
          <w:sz w:val="24"/>
          <w:szCs w:val="24"/>
          <w:lang w:bidi="en-US"/>
        </w:rPr>
      </w:pPr>
      <w:r>
        <w:rPr>
          <w:rFonts w:ascii="Arial" w:hAnsi="Arial" w:eastAsia="仿宋_GB2312" w:cs="Arial"/>
          <w:kern w:val="0"/>
          <w:sz w:val="24"/>
          <w:szCs w:val="24"/>
          <w:lang w:bidi="en-US"/>
        </w:rPr>
        <w:t>客户（个人签字/机构盖章）：              证券营业机构（盖章）：</w:t>
      </w:r>
    </w:p>
    <w:p w14:paraId="2EB2F318">
      <w:pPr>
        <w:overflowPunct w:val="0"/>
        <w:spacing w:line="400" w:lineRule="exact"/>
        <w:rPr>
          <w:rFonts w:ascii="Arial" w:hAnsi="Arial" w:eastAsia="仿宋_GB2312" w:cs="Arial"/>
          <w:kern w:val="0"/>
          <w:sz w:val="24"/>
          <w:szCs w:val="24"/>
          <w:lang w:bidi="en-US"/>
        </w:rPr>
      </w:pPr>
    </w:p>
    <w:p w14:paraId="68EE75B2">
      <w:pPr>
        <w:overflowPunct w:val="0"/>
        <w:spacing w:line="400" w:lineRule="exact"/>
        <w:rPr>
          <w:rFonts w:ascii="Arial" w:hAnsi="Arial" w:eastAsia="仿宋_GB2312" w:cs="Arial"/>
          <w:kern w:val="0"/>
          <w:sz w:val="24"/>
          <w:szCs w:val="24"/>
          <w:lang w:bidi="en-US"/>
        </w:rPr>
      </w:pPr>
      <w:r>
        <w:rPr>
          <w:rFonts w:ascii="Arial" w:hAnsi="Arial" w:eastAsia="仿宋_GB2312" w:cs="Arial"/>
          <w:kern w:val="0"/>
          <w:sz w:val="24"/>
          <w:szCs w:val="24"/>
          <w:lang w:bidi="en-US"/>
        </w:rPr>
        <w:t>机构经办人：</w:t>
      </w:r>
    </w:p>
    <w:p w14:paraId="0473F2F4">
      <w:pPr>
        <w:overflowPunct w:val="0"/>
        <w:spacing w:line="400" w:lineRule="exact"/>
        <w:rPr>
          <w:rFonts w:ascii="Arial" w:hAnsi="Arial" w:eastAsia="仿宋_GB2312" w:cs="Arial"/>
          <w:kern w:val="0"/>
          <w:sz w:val="24"/>
          <w:szCs w:val="24"/>
          <w:lang w:bidi="en-US"/>
        </w:rPr>
      </w:pPr>
    </w:p>
    <w:p w14:paraId="7040A6CF">
      <w:pPr>
        <w:spacing w:line="400" w:lineRule="exact"/>
        <w:rPr>
          <w:rFonts w:ascii="Arial" w:hAnsi="Arial" w:eastAsia="仿宋_GB2312" w:cs="Arial"/>
          <w:kern w:val="0"/>
          <w:sz w:val="24"/>
          <w:szCs w:val="24"/>
          <w:lang w:bidi="en-US"/>
        </w:rPr>
      </w:pPr>
      <w:r>
        <w:rPr>
          <w:rFonts w:ascii="Arial" w:hAnsi="Arial" w:eastAsia="仿宋_GB2312" w:cs="Arial"/>
          <w:kern w:val="0"/>
          <w:sz w:val="24"/>
          <w:szCs w:val="24"/>
          <w:lang w:bidi="en-US"/>
        </w:rPr>
        <w:t>签署日期：   年    月   日               签署日期：   年    月   日</w:t>
      </w:r>
    </w:p>
    <w:p w14:paraId="0C9F64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D5511"/>
    <w:rsid w:val="044D5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2026-07-03T07:50:00Z</dcterms:created>
  <dc:creator>李琛</dc:creator>
  <cp:lastModifiedBy>李琛</cp:lastModifiedBy>
  <dcterms:modified xsi:type="dcterms:W3CDTF">2026-07-03T07:50:58Z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CF5D804941AD4A278F62CFA75481A989_11</vt:lpwstr>
  </property>
  <property fmtid="{D5CDD505-2E9C-101B-9397-08002B2CF9AE}" pid="4" name="KSOTemplateDocerSaveRecord">
    <vt:lpwstr>eyJoZGlkIjoiMWE4M2E5NTUxMmRhYmEyNmQxMTQ4N2U1MzdkNjBjYTEiLCJ1c2VySWQiOiIyMTA3NjM2MjcifQ==</vt:lpwstr>
  </property>
</Properties>
</file>